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91BB1" w14:textId="4CF6FCB8" w:rsidR="00DF3C99" w:rsidRPr="00A95C12" w:rsidRDefault="00DF3C99" w:rsidP="00B9391C">
      <w:pPr>
        <w:spacing w:after="0" w:line="240" w:lineRule="auto"/>
        <w:ind w:left="872" w:right="0" w:firstLine="0"/>
        <w:jc w:val="left"/>
        <w:rPr>
          <w:rFonts w:ascii="Cambria" w:hAnsi="Cambria"/>
          <w:szCs w:val="24"/>
        </w:rPr>
      </w:pPr>
    </w:p>
    <w:p w14:paraId="18381B96" w14:textId="4A572AFA" w:rsidR="00DF3C99" w:rsidRPr="00A95C12" w:rsidRDefault="00A95C12" w:rsidP="00B9391C">
      <w:pPr>
        <w:spacing w:after="278" w:line="240" w:lineRule="auto"/>
        <w:ind w:left="872" w:right="0" w:firstLine="0"/>
        <w:jc w:val="left"/>
        <w:rPr>
          <w:rFonts w:ascii="Cambria" w:hAnsi="Cambria"/>
          <w:szCs w:val="24"/>
        </w:rPr>
      </w:pPr>
      <w:r w:rsidRPr="00A95C12">
        <w:rPr>
          <w:rFonts w:ascii="Cambria" w:eastAsia="Calibri" w:hAnsi="Cambria" w:cs="Calibri"/>
          <w:szCs w:val="24"/>
        </w:rPr>
        <w:t xml:space="preserve"> </w:t>
      </w:r>
    </w:p>
    <w:p w14:paraId="1A479A60" w14:textId="70BBAB35" w:rsidR="00FF00AD" w:rsidRPr="00A95C12" w:rsidRDefault="00CD5AFA" w:rsidP="00B9391C">
      <w:pPr>
        <w:spacing w:after="0" w:line="240" w:lineRule="auto"/>
        <w:ind w:left="0" w:right="2" w:firstLine="0"/>
        <w:rPr>
          <w:rFonts w:ascii="Cambria" w:hAnsi="Cambria"/>
          <w:b/>
          <w:szCs w:val="24"/>
        </w:rPr>
      </w:pPr>
      <w:r w:rsidRPr="00A95C12">
        <w:rPr>
          <w:rFonts w:ascii="Cambria" w:hAnsi="Cambria"/>
          <w:b/>
          <w:szCs w:val="24"/>
        </w:rPr>
        <w:t xml:space="preserve">Worsening Russia-Ukraine Unrest: </w:t>
      </w:r>
    </w:p>
    <w:p w14:paraId="61F88261" w14:textId="49CF21D7" w:rsidR="00DF3C99" w:rsidRPr="00A95C12" w:rsidRDefault="00A95C12" w:rsidP="00B9391C">
      <w:pPr>
        <w:spacing w:after="0" w:line="240" w:lineRule="auto"/>
        <w:ind w:left="0" w:right="2" w:firstLine="0"/>
        <w:rPr>
          <w:rFonts w:ascii="Cambria" w:hAnsi="Cambria"/>
          <w:i/>
          <w:szCs w:val="24"/>
        </w:rPr>
      </w:pPr>
      <w:r>
        <w:rPr>
          <w:rFonts w:ascii="Cambria" w:hAnsi="Cambria"/>
          <w:i/>
          <w:szCs w:val="24"/>
        </w:rPr>
        <w:t>…</w:t>
      </w:r>
      <w:r w:rsidR="00FF00AD" w:rsidRPr="00A95C12">
        <w:rPr>
          <w:rFonts w:ascii="Cambria" w:hAnsi="Cambria"/>
          <w:i/>
          <w:szCs w:val="24"/>
        </w:rPr>
        <w:t>I</w:t>
      </w:r>
      <w:r w:rsidRPr="00A95C12">
        <w:rPr>
          <w:rFonts w:ascii="Cambria" w:hAnsi="Cambria"/>
          <w:i/>
          <w:szCs w:val="24"/>
        </w:rPr>
        <w:t xml:space="preserve">mplications for the </w:t>
      </w:r>
      <w:r w:rsidR="00FF00AD" w:rsidRPr="00A95C12">
        <w:rPr>
          <w:rFonts w:ascii="Cambria" w:hAnsi="Cambria"/>
          <w:i/>
          <w:szCs w:val="24"/>
        </w:rPr>
        <w:t>a</w:t>
      </w:r>
      <w:r w:rsidR="00EC0480" w:rsidRPr="00A95C12">
        <w:rPr>
          <w:rFonts w:ascii="Cambria" w:hAnsi="Cambria"/>
          <w:i/>
          <w:szCs w:val="24"/>
        </w:rPr>
        <w:t xml:space="preserve">gricultural </w:t>
      </w:r>
      <w:r w:rsidR="00FF00AD" w:rsidRPr="00A95C12">
        <w:rPr>
          <w:rFonts w:ascii="Cambria" w:hAnsi="Cambria"/>
          <w:i/>
          <w:szCs w:val="24"/>
        </w:rPr>
        <w:t>s</w:t>
      </w:r>
      <w:r w:rsidR="00EC0480" w:rsidRPr="00A95C12">
        <w:rPr>
          <w:rFonts w:ascii="Cambria" w:hAnsi="Cambria"/>
          <w:i/>
          <w:szCs w:val="24"/>
        </w:rPr>
        <w:t xml:space="preserve">ector and </w:t>
      </w:r>
      <w:r w:rsidR="00FF00AD" w:rsidRPr="00A95C12">
        <w:rPr>
          <w:rFonts w:ascii="Cambria" w:hAnsi="Cambria"/>
          <w:i/>
          <w:szCs w:val="24"/>
        </w:rPr>
        <w:t>fast-track</w:t>
      </w:r>
      <w:r w:rsidR="00CD5AFA">
        <w:rPr>
          <w:rFonts w:ascii="Cambria" w:hAnsi="Cambria"/>
          <w:i/>
          <w:szCs w:val="24"/>
        </w:rPr>
        <w:t>ed</w:t>
      </w:r>
      <w:r w:rsidR="00FF00AD" w:rsidRPr="00A95C12">
        <w:rPr>
          <w:rFonts w:ascii="Cambria" w:hAnsi="Cambria"/>
          <w:i/>
          <w:szCs w:val="24"/>
        </w:rPr>
        <w:t xml:space="preserve"> remedial measures for sustainable agricultural productivity  </w:t>
      </w:r>
    </w:p>
    <w:p w14:paraId="15AEB3C9" w14:textId="77777777" w:rsidR="00DF3C99" w:rsidRPr="00A95C12" w:rsidRDefault="00EC0480" w:rsidP="00B9391C">
      <w:pPr>
        <w:spacing w:after="254" w:line="240" w:lineRule="auto"/>
        <w:ind w:left="872" w:right="0" w:firstLine="0"/>
        <w:jc w:val="left"/>
        <w:rPr>
          <w:rFonts w:ascii="Cambria" w:hAnsi="Cambria"/>
          <w:szCs w:val="24"/>
        </w:rPr>
      </w:pPr>
      <w:r w:rsidRPr="00A95C12">
        <w:rPr>
          <w:rFonts w:ascii="Cambria" w:hAnsi="Cambria"/>
          <w:szCs w:val="24"/>
        </w:rPr>
        <w:t xml:space="preserve"> </w:t>
      </w:r>
    </w:p>
    <w:p w14:paraId="15016BA6" w14:textId="49181CED" w:rsidR="00FF00AD" w:rsidRPr="00A95C12" w:rsidRDefault="00EC0480" w:rsidP="000454E6">
      <w:pPr>
        <w:spacing w:line="240" w:lineRule="auto"/>
        <w:ind w:left="0" w:right="-1" w:firstLine="0"/>
        <w:rPr>
          <w:rFonts w:ascii="Cambria" w:hAnsi="Cambria"/>
          <w:szCs w:val="24"/>
        </w:rPr>
      </w:pPr>
      <w:r w:rsidRPr="00A95C12">
        <w:rPr>
          <w:rFonts w:ascii="Cambria" w:hAnsi="Cambria"/>
          <w:szCs w:val="24"/>
        </w:rPr>
        <w:t xml:space="preserve">The </w:t>
      </w:r>
      <w:r w:rsidR="00CD5AFA">
        <w:rPr>
          <w:rFonts w:ascii="Cambria" w:hAnsi="Cambria"/>
          <w:szCs w:val="24"/>
        </w:rPr>
        <w:t>intensification</w:t>
      </w:r>
      <w:r w:rsidRPr="00A95C12">
        <w:rPr>
          <w:rFonts w:ascii="Cambria" w:hAnsi="Cambria"/>
          <w:szCs w:val="24"/>
        </w:rPr>
        <w:t xml:space="preserve"> and ramifications of </w:t>
      </w:r>
      <w:r w:rsidR="00CD5AFA">
        <w:rPr>
          <w:rFonts w:ascii="Cambria" w:hAnsi="Cambria"/>
          <w:szCs w:val="24"/>
        </w:rPr>
        <w:t xml:space="preserve">the </w:t>
      </w:r>
      <w:r w:rsidRPr="00A95C12">
        <w:rPr>
          <w:rFonts w:ascii="Cambria" w:hAnsi="Cambria"/>
          <w:szCs w:val="24"/>
        </w:rPr>
        <w:t>Russia-Ukraine crisis might be catastrophic, while the ripple</w:t>
      </w:r>
      <w:r w:rsidR="00CD5AFA">
        <w:rPr>
          <w:rFonts w:ascii="Cambria" w:hAnsi="Cambria"/>
          <w:szCs w:val="24"/>
        </w:rPr>
        <w:t>-</w:t>
      </w:r>
      <w:r w:rsidRPr="00A95C12">
        <w:rPr>
          <w:rFonts w:ascii="Cambria" w:hAnsi="Cambria"/>
          <w:szCs w:val="24"/>
        </w:rPr>
        <w:t>effects could spread across a world currently recovering from pandemic supply chain disruptions. Grains, potash, metals, wood and plastics</w:t>
      </w:r>
      <w:r w:rsidR="00CD5AFA">
        <w:rPr>
          <w:rFonts w:ascii="Cambria" w:hAnsi="Cambria"/>
          <w:szCs w:val="24"/>
        </w:rPr>
        <w:t xml:space="preserve"> - </w:t>
      </w:r>
      <w:r w:rsidRPr="00A95C12">
        <w:rPr>
          <w:rFonts w:ascii="Cambria" w:hAnsi="Cambria"/>
          <w:szCs w:val="24"/>
        </w:rPr>
        <w:t>all of which are utilised in a wide range of products and by several businesses, from fertiliser produc</w:t>
      </w:r>
      <w:r w:rsidR="00CD5AFA">
        <w:rPr>
          <w:rFonts w:ascii="Cambria" w:hAnsi="Cambria"/>
          <w:szCs w:val="24"/>
        </w:rPr>
        <w:t xml:space="preserve">ers to automobile manufacturers - </w:t>
      </w:r>
      <w:r w:rsidRPr="00A95C12">
        <w:rPr>
          <w:rFonts w:ascii="Cambria" w:hAnsi="Cambria"/>
          <w:szCs w:val="24"/>
        </w:rPr>
        <w:t xml:space="preserve">are among Russia's most important exports. </w:t>
      </w:r>
      <w:r w:rsidR="00CD5AFA">
        <w:rPr>
          <w:rFonts w:ascii="Cambria" w:hAnsi="Cambria"/>
          <w:szCs w:val="24"/>
        </w:rPr>
        <w:t>‘</w:t>
      </w:r>
      <w:r w:rsidRPr="00A95C12">
        <w:rPr>
          <w:rFonts w:ascii="Cambria" w:hAnsi="Cambria"/>
          <w:szCs w:val="24"/>
        </w:rPr>
        <w:t>When two elephants fight, the grass suffers</w:t>
      </w:r>
      <w:r w:rsidR="00CD5AFA">
        <w:rPr>
          <w:rFonts w:ascii="Cambria" w:hAnsi="Cambria"/>
          <w:szCs w:val="24"/>
        </w:rPr>
        <w:t>’</w:t>
      </w:r>
      <w:r w:rsidRPr="00A95C12">
        <w:rPr>
          <w:rFonts w:ascii="Cambria" w:hAnsi="Cambria"/>
          <w:szCs w:val="24"/>
        </w:rPr>
        <w:t>, according to a well</w:t>
      </w:r>
      <w:r w:rsidR="00CD5AFA">
        <w:rPr>
          <w:rFonts w:ascii="Cambria" w:hAnsi="Cambria"/>
          <w:szCs w:val="24"/>
        </w:rPr>
        <w:t>-</w:t>
      </w:r>
      <w:r w:rsidRPr="00A95C12">
        <w:rPr>
          <w:rFonts w:ascii="Cambria" w:hAnsi="Cambria"/>
          <w:szCs w:val="24"/>
        </w:rPr>
        <w:t xml:space="preserve">known saying. As of yet, the crisis' impact on global trade has been most pronounced in the Black Sea, where Russian and Ukrainian ports serve as significant hubs for wheat and maize exports. </w:t>
      </w:r>
    </w:p>
    <w:p w14:paraId="6A33D2C0" w14:textId="53DA4E93" w:rsidR="00DF3C99" w:rsidRPr="00A95C12" w:rsidRDefault="00EC0480" w:rsidP="000454E6">
      <w:pPr>
        <w:spacing w:line="240" w:lineRule="auto"/>
        <w:ind w:left="0" w:right="-1"/>
        <w:rPr>
          <w:rFonts w:ascii="Cambria" w:hAnsi="Cambria"/>
          <w:szCs w:val="24"/>
        </w:rPr>
      </w:pPr>
      <w:r w:rsidRPr="00A95C12">
        <w:rPr>
          <w:rFonts w:ascii="Cambria" w:hAnsi="Cambria"/>
          <w:szCs w:val="24"/>
        </w:rPr>
        <w:t xml:space="preserve">As a result, the world's second-largest grain exporting region has been practically closed down. </w:t>
      </w:r>
      <w:r w:rsidR="00CD5AFA">
        <w:rPr>
          <w:rFonts w:ascii="Cambria" w:hAnsi="Cambria"/>
          <w:szCs w:val="24"/>
        </w:rPr>
        <w:t>Ukraine accounts for 16</w:t>
      </w:r>
      <w:r w:rsidRPr="00A95C12">
        <w:rPr>
          <w:rFonts w:ascii="Cambria" w:hAnsi="Cambria"/>
          <w:szCs w:val="24"/>
        </w:rPr>
        <w:t>%</w:t>
      </w:r>
      <w:r w:rsidR="00CD5AFA">
        <w:rPr>
          <w:rFonts w:ascii="Cambria" w:hAnsi="Cambria"/>
          <w:szCs w:val="24"/>
        </w:rPr>
        <w:t xml:space="preserve"> of global maize exports and 30</w:t>
      </w:r>
      <w:r w:rsidRPr="00A95C12">
        <w:rPr>
          <w:rFonts w:ascii="Cambria" w:hAnsi="Cambria"/>
          <w:szCs w:val="24"/>
        </w:rPr>
        <w:t xml:space="preserve">% of wheat exports </w:t>
      </w:r>
      <w:r w:rsidR="00D41DA3">
        <w:rPr>
          <w:rFonts w:ascii="Cambria" w:hAnsi="Cambria"/>
          <w:szCs w:val="24"/>
        </w:rPr>
        <w:t>–</w:t>
      </w:r>
      <w:r w:rsidRPr="00A95C12">
        <w:rPr>
          <w:rFonts w:ascii="Cambria" w:hAnsi="Cambria"/>
          <w:szCs w:val="24"/>
        </w:rPr>
        <w:t xml:space="preserve"> </w:t>
      </w:r>
      <w:r w:rsidR="00D41DA3">
        <w:rPr>
          <w:rFonts w:ascii="Cambria" w:hAnsi="Cambria"/>
          <w:szCs w:val="24"/>
        </w:rPr>
        <w:t xml:space="preserve">which </w:t>
      </w:r>
      <w:r w:rsidRPr="00A95C12">
        <w:rPr>
          <w:rFonts w:ascii="Cambria" w:hAnsi="Cambria"/>
          <w:szCs w:val="24"/>
        </w:rPr>
        <w:t>means developing countries that rely on imports could face major supply shocks due to the conflict and sanctions on Russia. For in</w:t>
      </w:r>
      <w:r w:rsidR="00D41DA3">
        <w:rPr>
          <w:rFonts w:ascii="Cambria" w:hAnsi="Cambria"/>
          <w:szCs w:val="24"/>
        </w:rPr>
        <w:t>stance, Egypt, India and Turkey -</w:t>
      </w:r>
      <w:r w:rsidRPr="00A95C12">
        <w:rPr>
          <w:rFonts w:ascii="Cambria" w:hAnsi="Cambria"/>
          <w:szCs w:val="24"/>
        </w:rPr>
        <w:t xml:space="preserve"> all these countries rely significantly on Russia for everything from flatbread ingredients to natural gas and tourism, making them particularly vulnerable. </w:t>
      </w:r>
    </w:p>
    <w:p w14:paraId="5C51A793" w14:textId="77777777" w:rsidR="00D41DA3" w:rsidRDefault="00EC0480" w:rsidP="000454E6">
      <w:pPr>
        <w:spacing w:line="240" w:lineRule="auto"/>
        <w:ind w:left="0" w:right="-1"/>
        <w:rPr>
          <w:rFonts w:ascii="Cambria" w:hAnsi="Cambria"/>
          <w:szCs w:val="24"/>
        </w:rPr>
      </w:pPr>
      <w:r w:rsidRPr="00A95C12">
        <w:rPr>
          <w:rFonts w:ascii="Cambria" w:hAnsi="Cambria"/>
          <w:szCs w:val="24"/>
        </w:rPr>
        <w:t>Ghanaian farmers in particular rely on inorganic fertilisers imported from Europe for food production. Ghana imported 425.1 thousand metric tonnes of fertilisers in 2019, up from 315.2 thousand metric tonnes in 2018 (Statista, 2018). Fertiliser imports in 2017 were 444.2 thousand metric tonnes, the highest level ever. The most commonly imported fertiliser type int</w:t>
      </w:r>
      <w:r w:rsidR="00D41DA3">
        <w:rPr>
          <w:rFonts w:ascii="Cambria" w:hAnsi="Cambria"/>
          <w:szCs w:val="24"/>
        </w:rPr>
        <w:t>o Ghana is nitrogen, phosphorus</w:t>
      </w:r>
      <w:r w:rsidRPr="00A95C12">
        <w:rPr>
          <w:rFonts w:ascii="Cambria" w:hAnsi="Cambria"/>
          <w:szCs w:val="24"/>
        </w:rPr>
        <w:t xml:space="preserve"> and potassium (NPK) fertiliser. With an annual output of 10.4 million metric ton</w:t>
      </w:r>
      <w:r w:rsidR="00D41DA3">
        <w:rPr>
          <w:rFonts w:ascii="Cambria" w:hAnsi="Cambria"/>
          <w:szCs w:val="24"/>
        </w:rPr>
        <w:t>ne</w:t>
      </w:r>
      <w:r w:rsidRPr="00A95C12">
        <w:rPr>
          <w:rFonts w:ascii="Cambria" w:hAnsi="Cambria"/>
          <w:szCs w:val="24"/>
        </w:rPr>
        <w:t>s, Russia ranks fourth in the world for nitrogen fertiliser production (NationMaster.com, 2019). Russian nat</w:t>
      </w:r>
      <w:r w:rsidR="00D41DA3">
        <w:rPr>
          <w:rFonts w:ascii="Cambria" w:hAnsi="Cambria"/>
          <w:szCs w:val="24"/>
        </w:rPr>
        <w:t>ural gas reserve was roughly 47,805 billion cubic met</w:t>
      </w:r>
      <w:r w:rsidRPr="00A95C12">
        <w:rPr>
          <w:rFonts w:ascii="Cambria" w:hAnsi="Cambria"/>
          <w:szCs w:val="24"/>
        </w:rPr>
        <w:t>r</w:t>
      </w:r>
      <w:r w:rsidR="00D41DA3">
        <w:rPr>
          <w:rFonts w:ascii="Cambria" w:hAnsi="Cambria"/>
          <w:szCs w:val="24"/>
        </w:rPr>
        <w:t>e</w:t>
      </w:r>
      <w:r w:rsidRPr="00A95C12">
        <w:rPr>
          <w:rFonts w:ascii="Cambria" w:hAnsi="Cambria"/>
          <w:szCs w:val="24"/>
        </w:rPr>
        <w:t>s (</w:t>
      </w:r>
      <w:proofErr w:type="spellStart"/>
      <w:r w:rsidRPr="00A95C12">
        <w:rPr>
          <w:rFonts w:ascii="Cambria" w:hAnsi="Cambria"/>
          <w:szCs w:val="24"/>
        </w:rPr>
        <w:t>bcm</w:t>
      </w:r>
      <w:proofErr w:type="spellEnd"/>
      <w:r w:rsidRPr="00A95C12">
        <w:rPr>
          <w:rFonts w:ascii="Cambria" w:hAnsi="Cambria"/>
          <w:szCs w:val="24"/>
        </w:rPr>
        <w:t>) in 2022</w:t>
      </w:r>
      <w:r w:rsidR="00D41DA3">
        <w:rPr>
          <w:rFonts w:ascii="Cambria" w:hAnsi="Cambria"/>
          <w:szCs w:val="24"/>
        </w:rPr>
        <w:t>,</w:t>
      </w:r>
      <w:r w:rsidRPr="00A95C12">
        <w:rPr>
          <w:rFonts w:ascii="Cambria" w:hAnsi="Cambria"/>
          <w:szCs w:val="24"/>
        </w:rPr>
        <w:t xml:space="preserve"> and Russia is the world's top natural gas producer</w:t>
      </w:r>
      <w:r w:rsidR="00D41DA3">
        <w:rPr>
          <w:rFonts w:ascii="Cambria" w:hAnsi="Cambria"/>
          <w:szCs w:val="24"/>
        </w:rPr>
        <w:t xml:space="preserve"> -</w:t>
      </w:r>
      <w:r w:rsidRPr="00A95C12">
        <w:rPr>
          <w:rFonts w:ascii="Cambria" w:hAnsi="Cambria"/>
          <w:szCs w:val="24"/>
        </w:rPr>
        <w:t xml:space="preserve"> exporting approximately 196 billion cubic metres of gas each</w:t>
      </w:r>
      <w:r w:rsidR="00D41DA3">
        <w:rPr>
          <w:rFonts w:ascii="Cambria" w:hAnsi="Cambria"/>
          <w:szCs w:val="24"/>
        </w:rPr>
        <w:t xml:space="preserve"> </w:t>
      </w:r>
      <w:r w:rsidRPr="00A95C12">
        <w:rPr>
          <w:rFonts w:ascii="Cambria" w:hAnsi="Cambria"/>
          <w:szCs w:val="24"/>
        </w:rPr>
        <w:t>year (World Population Review, 2021). C</w:t>
      </w:r>
      <w:r w:rsidR="00D41DA3">
        <w:rPr>
          <w:rFonts w:ascii="Cambria" w:hAnsi="Cambria"/>
          <w:szCs w:val="24"/>
        </w:rPr>
        <w:t>hemicals, fertilisers, hydrogen</w:t>
      </w:r>
      <w:r w:rsidRPr="00A95C12">
        <w:rPr>
          <w:rFonts w:ascii="Cambria" w:hAnsi="Cambria"/>
          <w:szCs w:val="24"/>
        </w:rPr>
        <w:t xml:space="preserve"> and a slew of other things rely on the world's gas supply, and this Russian-Ukraine crisis threaten</w:t>
      </w:r>
      <w:r w:rsidR="00D41DA3">
        <w:rPr>
          <w:rFonts w:ascii="Cambria" w:hAnsi="Cambria"/>
          <w:szCs w:val="24"/>
        </w:rPr>
        <w:t xml:space="preserve">s to disrupt global fertiliser </w:t>
      </w:r>
      <w:r w:rsidRPr="00A95C12">
        <w:rPr>
          <w:rFonts w:ascii="Cambria" w:hAnsi="Cambria"/>
          <w:szCs w:val="24"/>
        </w:rPr>
        <w:t xml:space="preserve">supply significantly. </w:t>
      </w:r>
    </w:p>
    <w:p w14:paraId="33FF4153" w14:textId="13115D1A" w:rsidR="00DF3C99" w:rsidRPr="00A95C12" w:rsidRDefault="00EC0480" w:rsidP="000454E6">
      <w:pPr>
        <w:spacing w:line="240" w:lineRule="auto"/>
        <w:ind w:left="0" w:right="-1"/>
        <w:rPr>
          <w:rFonts w:ascii="Cambria" w:hAnsi="Cambria"/>
          <w:szCs w:val="24"/>
        </w:rPr>
      </w:pPr>
      <w:r w:rsidRPr="00A95C12">
        <w:rPr>
          <w:rFonts w:ascii="Cambria" w:hAnsi="Cambria"/>
          <w:szCs w:val="24"/>
        </w:rPr>
        <w:t xml:space="preserve">We predict that this year's supply will be even worse, making fertiliser scarce in </w:t>
      </w:r>
      <w:r w:rsidR="00D41DA3">
        <w:rPr>
          <w:rFonts w:ascii="Cambria" w:hAnsi="Cambria"/>
          <w:szCs w:val="24"/>
        </w:rPr>
        <w:t>s</w:t>
      </w:r>
      <w:r w:rsidRPr="00A95C12">
        <w:rPr>
          <w:rFonts w:ascii="Cambria" w:hAnsi="Cambria"/>
          <w:szCs w:val="24"/>
        </w:rPr>
        <w:t xml:space="preserve">ub-Saharan Africa, which is always vulnerable to these shocks because we are a net importer of the commodity. This will be compounded by the impact of COVID-19 on fertiliser supply, which saw the lowest usage in 2020 because of supply constraints and production bottlenecks from producing companies. COVID-19 Africa Fertiliser Watch Dashboard developed by a partnership between the International Fertiliser Development Centre (IFDC), the African Fertiliser and Agribusiness Partnership (AFAP), Development Gateway, and AFRIQOM (AfricaFertiliser.org) allowed the fertiliser industry to have most ships at </w:t>
      </w:r>
      <w:r w:rsidR="00D41DA3">
        <w:rPr>
          <w:rFonts w:ascii="Cambria" w:hAnsi="Cambria"/>
          <w:szCs w:val="24"/>
        </w:rPr>
        <w:t>sea before the lockdown in 2020 -</w:t>
      </w:r>
      <w:r w:rsidRPr="00A95C12">
        <w:rPr>
          <w:rFonts w:ascii="Cambria" w:hAnsi="Cambria"/>
          <w:szCs w:val="24"/>
        </w:rPr>
        <w:t xml:space="preserve"> which in a way markedly cushioned the fertiliser sector during the lockdown period.  </w:t>
      </w:r>
    </w:p>
    <w:p w14:paraId="6279CDD0" w14:textId="77777777" w:rsidR="00DF3C99" w:rsidRPr="00A95C12" w:rsidRDefault="00EC0480" w:rsidP="00B9391C">
      <w:pPr>
        <w:spacing w:after="446" w:line="240" w:lineRule="auto"/>
        <w:ind w:left="0" w:right="480" w:firstLine="0"/>
        <w:jc w:val="right"/>
        <w:rPr>
          <w:rFonts w:ascii="Cambria" w:hAnsi="Cambria"/>
          <w:szCs w:val="24"/>
        </w:rPr>
      </w:pPr>
      <w:r w:rsidRPr="00A95C12">
        <w:rPr>
          <w:rFonts w:ascii="Cambria" w:hAnsi="Cambria"/>
          <w:noProof/>
          <w:szCs w:val="24"/>
          <w:lang w:val="en-US" w:eastAsia="en-US"/>
        </w:rPr>
        <w:lastRenderedPageBreak/>
        <w:drawing>
          <wp:inline distT="0" distB="0" distL="0" distR="0" wp14:anchorId="6D881E93" wp14:editId="1A09E358">
            <wp:extent cx="6051296" cy="4154805"/>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
                    <a:stretch>
                      <a:fillRect/>
                    </a:stretch>
                  </pic:blipFill>
                  <pic:spPr>
                    <a:xfrm>
                      <a:off x="0" y="0"/>
                      <a:ext cx="6051296" cy="4154805"/>
                    </a:xfrm>
                    <a:prstGeom prst="rect">
                      <a:avLst/>
                    </a:prstGeom>
                  </pic:spPr>
                </pic:pic>
              </a:graphicData>
            </a:graphic>
          </wp:inline>
        </w:drawing>
      </w:r>
      <w:r w:rsidRPr="00A95C12">
        <w:rPr>
          <w:rFonts w:ascii="Cambria" w:hAnsi="Cambria"/>
          <w:szCs w:val="24"/>
        </w:rPr>
        <w:t xml:space="preserve"> </w:t>
      </w:r>
    </w:p>
    <w:p w14:paraId="391844C9" w14:textId="1E695E05" w:rsidR="000454E6" w:rsidRDefault="00EC0480" w:rsidP="00B9391C">
      <w:pPr>
        <w:spacing w:after="112" w:line="240" w:lineRule="auto"/>
        <w:ind w:left="0" w:right="151" w:firstLine="0"/>
        <w:jc w:val="right"/>
        <w:rPr>
          <w:rFonts w:ascii="Cambria" w:hAnsi="Cambria"/>
          <w:szCs w:val="24"/>
        </w:rPr>
      </w:pPr>
      <w:r w:rsidRPr="00A95C12">
        <w:rPr>
          <w:rFonts w:ascii="Cambria" w:hAnsi="Cambria"/>
          <w:b/>
          <w:szCs w:val="24"/>
        </w:rPr>
        <w:t>Fig 1.</w:t>
      </w:r>
      <w:r w:rsidRPr="00A95C12">
        <w:rPr>
          <w:rFonts w:ascii="Cambria" w:hAnsi="Cambria"/>
          <w:szCs w:val="24"/>
        </w:rPr>
        <w:t xml:space="preserve"> Total fertiliser imports in Ghana from 2010-20</w:t>
      </w:r>
      <w:r w:rsidR="000454E6">
        <w:rPr>
          <w:rFonts w:ascii="Cambria" w:hAnsi="Cambria"/>
          <w:szCs w:val="24"/>
        </w:rPr>
        <w:t xml:space="preserve">19. Data sourced from FAO, </w:t>
      </w:r>
      <w:proofErr w:type="spellStart"/>
      <w:r w:rsidR="000454E6">
        <w:rPr>
          <w:rFonts w:ascii="Cambria" w:hAnsi="Cambria"/>
          <w:szCs w:val="24"/>
        </w:rPr>
        <w:t>MoFA</w:t>
      </w:r>
      <w:proofErr w:type="spellEnd"/>
      <w:r w:rsidR="000454E6">
        <w:rPr>
          <w:rFonts w:ascii="Cambria" w:hAnsi="Cambria"/>
          <w:szCs w:val="24"/>
        </w:rPr>
        <w:t xml:space="preserve"> and</w:t>
      </w:r>
      <w:r w:rsidRPr="00A95C12">
        <w:rPr>
          <w:rFonts w:ascii="Cambria" w:hAnsi="Cambria"/>
          <w:b/>
          <w:szCs w:val="24"/>
        </w:rPr>
        <w:t xml:space="preserve"> </w:t>
      </w:r>
      <w:r w:rsidR="000454E6">
        <w:rPr>
          <w:rFonts w:ascii="Cambria" w:hAnsi="Cambria"/>
          <w:szCs w:val="24"/>
        </w:rPr>
        <w:t>COMESA.</w:t>
      </w:r>
    </w:p>
    <w:p w14:paraId="4B48A608" w14:textId="77777777" w:rsidR="000454E6" w:rsidRDefault="000454E6" w:rsidP="00B9391C">
      <w:pPr>
        <w:spacing w:after="112" w:line="240" w:lineRule="auto"/>
        <w:ind w:left="0" w:right="151" w:firstLine="0"/>
        <w:jc w:val="right"/>
        <w:rPr>
          <w:rFonts w:ascii="Cambria" w:hAnsi="Cambria"/>
          <w:szCs w:val="24"/>
        </w:rPr>
      </w:pPr>
    </w:p>
    <w:p w14:paraId="748BEF7A" w14:textId="5F45AB52" w:rsidR="00DF3C99" w:rsidRPr="00A95C12" w:rsidRDefault="00EC0480" w:rsidP="00967CEA">
      <w:pPr>
        <w:spacing w:after="112" w:line="240" w:lineRule="auto"/>
        <w:ind w:left="0" w:right="151" w:firstLine="0"/>
        <w:rPr>
          <w:rFonts w:ascii="Cambria" w:hAnsi="Cambria"/>
          <w:szCs w:val="24"/>
        </w:rPr>
      </w:pPr>
      <w:r w:rsidRPr="00A95C12">
        <w:rPr>
          <w:rFonts w:ascii="Cambria" w:hAnsi="Cambria"/>
          <w:szCs w:val="24"/>
        </w:rPr>
        <w:t xml:space="preserve">Fertiliser production and supply will be worse in 2022 than in the </w:t>
      </w:r>
      <w:r w:rsidR="00967CEA">
        <w:rPr>
          <w:rFonts w:ascii="Cambria" w:hAnsi="Cambria"/>
          <w:szCs w:val="24"/>
        </w:rPr>
        <w:t xml:space="preserve">high </w:t>
      </w:r>
      <w:r w:rsidRPr="00A95C12">
        <w:rPr>
          <w:rFonts w:ascii="Cambria" w:hAnsi="Cambria"/>
          <w:szCs w:val="24"/>
        </w:rPr>
        <w:t>COVID-19 era</w:t>
      </w:r>
      <w:r w:rsidR="00967CEA">
        <w:rPr>
          <w:rFonts w:ascii="Cambria" w:hAnsi="Cambria"/>
          <w:szCs w:val="24"/>
        </w:rPr>
        <w:t>,</w:t>
      </w:r>
      <w:r w:rsidRPr="00A95C12">
        <w:rPr>
          <w:rFonts w:ascii="Cambria" w:hAnsi="Cambria"/>
          <w:szCs w:val="24"/>
        </w:rPr>
        <w:t xml:space="preserve"> based on </w:t>
      </w:r>
      <w:r w:rsidR="000454E6">
        <w:rPr>
          <w:rFonts w:ascii="Cambria" w:hAnsi="Cambria"/>
          <w:szCs w:val="24"/>
        </w:rPr>
        <w:t xml:space="preserve">the </w:t>
      </w:r>
      <w:r w:rsidRPr="00A95C12">
        <w:rPr>
          <w:rFonts w:ascii="Cambria" w:hAnsi="Cambria"/>
          <w:szCs w:val="24"/>
        </w:rPr>
        <w:t>current Russian-Ukrainian crisis</w:t>
      </w:r>
      <w:r w:rsidR="00967CEA">
        <w:rPr>
          <w:rFonts w:ascii="Cambria" w:hAnsi="Cambria"/>
          <w:szCs w:val="24"/>
        </w:rPr>
        <w:t>,</w:t>
      </w:r>
      <w:r w:rsidRPr="00A95C12">
        <w:rPr>
          <w:rFonts w:ascii="Cambria" w:hAnsi="Cambria"/>
          <w:szCs w:val="24"/>
        </w:rPr>
        <w:t xml:space="preserve"> and will be further exacerbated by economic sanctions imposed by the EU, NATO, the United States, Germany and other countries. Crop production and soil improvement in Ghana</w:t>
      </w:r>
      <w:r w:rsidR="00967CEA">
        <w:rPr>
          <w:rFonts w:ascii="Cambria" w:hAnsi="Cambria"/>
          <w:szCs w:val="24"/>
        </w:rPr>
        <w:t>,</w:t>
      </w:r>
      <w:r w:rsidRPr="00A95C12">
        <w:rPr>
          <w:rFonts w:ascii="Cambria" w:hAnsi="Cambria"/>
          <w:szCs w:val="24"/>
        </w:rPr>
        <w:t xml:space="preserve"> especially under the </w:t>
      </w:r>
      <w:r w:rsidR="00967CEA" w:rsidRPr="00A95C12">
        <w:rPr>
          <w:rFonts w:ascii="Cambria" w:hAnsi="Cambria"/>
          <w:szCs w:val="24"/>
        </w:rPr>
        <w:t xml:space="preserve">Planting </w:t>
      </w:r>
      <w:r w:rsidR="00967CEA">
        <w:rPr>
          <w:rFonts w:ascii="Cambria" w:hAnsi="Cambria"/>
          <w:szCs w:val="24"/>
        </w:rPr>
        <w:t>for Food a</w:t>
      </w:r>
      <w:r w:rsidR="00967CEA" w:rsidRPr="00A95C12">
        <w:rPr>
          <w:rFonts w:ascii="Cambria" w:hAnsi="Cambria"/>
          <w:szCs w:val="24"/>
        </w:rPr>
        <w:t>nd Jobs Programme</w:t>
      </w:r>
      <w:r w:rsidR="00967CEA">
        <w:rPr>
          <w:rFonts w:ascii="Cambria" w:hAnsi="Cambria"/>
          <w:szCs w:val="24"/>
        </w:rPr>
        <w:t xml:space="preserve"> - which relies</w:t>
      </w:r>
      <w:r w:rsidRPr="00A95C12">
        <w:rPr>
          <w:rFonts w:ascii="Cambria" w:hAnsi="Cambria"/>
          <w:szCs w:val="24"/>
        </w:rPr>
        <w:t xml:space="preserve"> heavily</w:t>
      </w:r>
      <w:r w:rsidR="00967CEA">
        <w:rPr>
          <w:rFonts w:ascii="Cambria" w:hAnsi="Cambria"/>
          <w:szCs w:val="24"/>
        </w:rPr>
        <w:t xml:space="preserve"> on inorganic fertilisers, will</w:t>
      </w:r>
      <w:r w:rsidRPr="00A95C12">
        <w:rPr>
          <w:rFonts w:ascii="Cambria" w:hAnsi="Cambria"/>
          <w:szCs w:val="24"/>
        </w:rPr>
        <w:t xml:space="preserve"> be the </w:t>
      </w:r>
      <w:r w:rsidR="00967CEA">
        <w:rPr>
          <w:rFonts w:ascii="Cambria" w:hAnsi="Cambria"/>
          <w:szCs w:val="24"/>
        </w:rPr>
        <w:t xml:space="preserve">most </w:t>
      </w:r>
      <w:r w:rsidRPr="00A95C12">
        <w:rPr>
          <w:rFonts w:ascii="Cambria" w:hAnsi="Cambria"/>
          <w:szCs w:val="24"/>
        </w:rPr>
        <w:t xml:space="preserve">severely hit.  </w:t>
      </w:r>
    </w:p>
    <w:p w14:paraId="376F135B" w14:textId="41CB821E" w:rsidR="00DF3C99" w:rsidRPr="00A95C12" w:rsidRDefault="00EC0480" w:rsidP="000454E6">
      <w:pPr>
        <w:spacing w:line="240" w:lineRule="auto"/>
        <w:ind w:left="0" w:right="-1"/>
        <w:rPr>
          <w:rFonts w:ascii="Cambria" w:hAnsi="Cambria"/>
          <w:szCs w:val="24"/>
        </w:rPr>
      </w:pPr>
      <w:r w:rsidRPr="00A95C12">
        <w:rPr>
          <w:rFonts w:ascii="Cambria" w:hAnsi="Cambria"/>
          <w:szCs w:val="24"/>
        </w:rPr>
        <w:t>Sub-Saharan Africa can boost food production and reduce poverty if fertiliser use is greatly promoted. Ghana has the greatest fertiliser depletion rates in Africa, ranging from 40 to 60 kg of NPK fertiliser per hectare per year (Climate Change and Sustainable Development, 2020). In the southern sector of Ghana, March to May is the main season for crop cultivation</w:t>
      </w:r>
      <w:r w:rsidR="00967CEA">
        <w:rPr>
          <w:rFonts w:ascii="Cambria" w:hAnsi="Cambria"/>
          <w:szCs w:val="24"/>
        </w:rPr>
        <w:t>;</w:t>
      </w:r>
      <w:r w:rsidRPr="00A95C12">
        <w:rPr>
          <w:rFonts w:ascii="Cambria" w:hAnsi="Cambria"/>
          <w:szCs w:val="24"/>
        </w:rPr>
        <w:t xml:space="preserve"> thus fertiliser application is inevitable</w:t>
      </w:r>
      <w:r w:rsidR="00967CEA">
        <w:rPr>
          <w:rFonts w:ascii="Cambria" w:hAnsi="Cambria"/>
          <w:szCs w:val="24"/>
        </w:rPr>
        <w:t>,</w:t>
      </w:r>
      <w:r w:rsidRPr="00A95C12">
        <w:rPr>
          <w:rFonts w:ascii="Cambria" w:hAnsi="Cambria"/>
          <w:szCs w:val="24"/>
        </w:rPr>
        <w:t xml:space="preserve"> and timely supply of the inp</w:t>
      </w:r>
      <w:r w:rsidR="00967CEA">
        <w:rPr>
          <w:rFonts w:ascii="Cambria" w:hAnsi="Cambria"/>
          <w:szCs w:val="24"/>
        </w:rPr>
        <w:t>ut will avoid the loo</w:t>
      </w:r>
      <w:r w:rsidRPr="00A95C12">
        <w:rPr>
          <w:rFonts w:ascii="Cambria" w:hAnsi="Cambria"/>
          <w:szCs w:val="24"/>
        </w:rPr>
        <w:t xml:space="preserve">ming danger of food shortages in the country. </w:t>
      </w:r>
    </w:p>
    <w:p w14:paraId="3B466399" w14:textId="77777777" w:rsidR="00DF3C99" w:rsidRPr="00A95C12" w:rsidRDefault="00EC0480" w:rsidP="00B9391C">
      <w:pPr>
        <w:spacing w:after="420" w:line="240" w:lineRule="auto"/>
        <w:ind w:left="0" w:right="792" w:firstLine="0"/>
        <w:jc w:val="right"/>
        <w:rPr>
          <w:rFonts w:ascii="Cambria" w:hAnsi="Cambria"/>
          <w:szCs w:val="24"/>
        </w:rPr>
      </w:pPr>
      <w:r w:rsidRPr="00A95C12">
        <w:rPr>
          <w:rFonts w:ascii="Cambria" w:hAnsi="Cambria"/>
          <w:noProof/>
          <w:szCs w:val="24"/>
          <w:lang w:val="en-US" w:eastAsia="en-US"/>
        </w:rPr>
        <w:lastRenderedPageBreak/>
        <w:drawing>
          <wp:inline distT="0" distB="0" distL="0" distR="0" wp14:anchorId="086356DA" wp14:editId="66079F4B">
            <wp:extent cx="5778500" cy="397510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7"/>
                    <a:stretch>
                      <a:fillRect/>
                    </a:stretch>
                  </pic:blipFill>
                  <pic:spPr>
                    <a:xfrm>
                      <a:off x="0" y="0"/>
                      <a:ext cx="5778500" cy="3975100"/>
                    </a:xfrm>
                    <a:prstGeom prst="rect">
                      <a:avLst/>
                    </a:prstGeom>
                  </pic:spPr>
                </pic:pic>
              </a:graphicData>
            </a:graphic>
          </wp:inline>
        </w:drawing>
      </w:r>
      <w:r w:rsidRPr="00A95C12">
        <w:rPr>
          <w:rFonts w:ascii="Cambria" w:hAnsi="Cambria"/>
          <w:szCs w:val="24"/>
        </w:rPr>
        <w:t xml:space="preserve"> </w:t>
      </w:r>
    </w:p>
    <w:p w14:paraId="3C3A09FF" w14:textId="56E56A68" w:rsidR="00DF3C99" w:rsidRPr="00A95C12" w:rsidRDefault="00EC0480" w:rsidP="00D41DA3">
      <w:pPr>
        <w:spacing w:after="111" w:line="240" w:lineRule="auto"/>
        <w:ind w:right="0"/>
        <w:jc w:val="left"/>
        <w:rPr>
          <w:rFonts w:ascii="Cambria" w:hAnsi="Cambria"/>
          <w:szCs w:val="24"/>
        </w:rPr>
      </w:pPr>
      <w:r w:rsidRPr="00A95C12">
        <w:rPr>
          <w:rFonts w:ascii="Cambria" w:hAnsi="Cambria"/>
          <w:b/>
          <w:szCs w:val="24"/>
        </w:rPr>
        <w:t>Fig 2.</w:t>
      </w:r>
      <w:r w:rsidRPr="00A95C12">
        <w:rPr>
          <w:rFonts w:ascii="Cambria" w:hAnsi="Cambria"/>
          <w:szCs w:val="24"/>
        </w:rPr>
        <w:t xml:space="preserve"> Total diammonium phosphate fertiliser imports in Ghana from 2010-2019. Data sourced from FAO, </w:t>
      </w:r>
      <w:proofErr w:type="spellStart"/>
      <w:r w:rsidRPr="00A95C12">
        <w:rPr>
          <w:rFonts w:ascii="Cambria" w:hAnsi="Cambria"/>
          <w:szCs w:val="24"/>
        </w:rPr>
        <w:t>MoFA</w:t>
      </w:r>
      <w:proofErr w:type="spellEnd"/>
      <w:r w:rsidR="000454E6">
        <w:rPr>
          <w:rFonts w:ascii="Cambria" w:hAnsi="Cambria"/>
          <w:szCs w:val="24"/>
        </w:rPr>
        <w:t xml:space="preserve"> and</w:t>
      </w:r>
      <w:r w:rsidRPr="00A95C12">
        <w:rPr>
          <w:rFonts w:ascii="Cambria" w:hAnsi="Cambria"/>
          <w:b/>
          <w:szCs w:val="24"/>
        </w:rPr>
        <w:t xml:space="preserve"> </w:t>
      </w:r>
      <w:r w:rsidRPr="00A95C12">
        <w:rPr>
          <w:rFonts w:ascii="Cambria" w:hAnsi="Cambria"/>
          <w:szCs w:val="24"/>
        </w:rPr>
        <w:t>COMESA</w:t>
      </w:r>
      <w:r w:rsidR="00D41DA3">
        <w:rPr>
          <w:rFonts w:ascii="Cambria" w:hAnsi="Cambria"/>
          <w:szCs w:val="24"/>
        </w:rPr>
        <w:t>.</w:t>
      </w:r>
      <w:r w:rsidRPr="00A95C12">
        <w:rPr>
          <w:rFonts w:ascii="Cambria" w:hAnsi="Cambria"/>
          <w:szCs w:val="24"/>
        </w:rPr>
        <w:t xml:space="preserve"> </w:t>
      </w:r>
    </w:p>
    <w:p w14:paraId="199E4D50" w14:textId="77777777" w:rsidR="00DF3C99" w:rsidRPr="00A95C12" w:rsidRDefault="00EC0480" w:rsidP="00B9391C">
      <w:pPr>
        <w:spacing w:after="352" w:line="240" w:lineRule="auto"/>
        <w:ind w:left="211" w:right="0" w:firstLine="0"/>
        <w:jc w:val="center"/>
        <w:rPr>
          <w:rFonts w:ascii="Cambria" w:hAnsi="Cambria"/>
          <w:szCs w:val="24"/>
        </w:rPr>
      </w:pPr>
      <w:r w:rsidRPr="00A95C12">
        <w:rPr>
          <w:rFonts w:ascii="Cambria" w:hAnsi="Cambria"/>
          <w:szCs w:val="24"/>
        </w:rPr>
        <w:t xml:space="preserve"> </w:t>
      </w:r>
    </w:p>
    <w:p w14:paraId="6908A916" w14:textId="77777777" w:rsidR="00DF3C99" w:rsidRPr="00A95C12" w:rsidRDefault="00EC0480" w:rsidP="00B9391C">
      <w:pPr>
        <w:spacing w:after="345" w:line="240" w:lineRule="auto"/>
        <w:ind w:left="211" w:right="0" w:firstLine="0"/>
        <w:jc w:val="center"/>
        <w:rPr>
          <w:rFonts w:ascii="Cambria" w:hAnsi="Cambria"/>
          <w:szCs w:val="24"/>
        </w:rPr>
      </w:pPr>
      <w:r w:rsidRPr="00A95C12">
        <w:rPr>
          <w:rFonts w:ascii="Cambria" w:hAnsi="Cambria"/>
          <w:szCs w:val="24"/>
        </w:rPr>
        <w:t xml:space="preserve"> </w:t>
      </w:r>
    </w:p>
    <w:p w14:paraId="0C4BA596" w14:textId="77777777" w:rsidR="00DF3C99" w:rsidRPr="00A95C12" w:rsidRDefault="00EC0480" w:rsidP="00B9391C">
      <w:pPr>
        <w:spacing w:after="529" w:line="240" w:lineRule="auto"/>
        <w:ind w:left="0" w:right="660" w:firstLine="0"/>
        <w:jc w:val="right"/>
        <w:rPr>
          <w:rFonts w:ascii="Cambria" w:hAnsi="Cambria"/>
          <w:szCs w:val="24"/>
        </w:rPr>
      </w:pPr>
      <w:r w:rsidRPr="00A95C12">
        <w:rPr>
          <w:rFonts w:ascii="Cambria" w:hAnsi="Cambria"/>
          <w:noProof/>
          <w:szCs w:val="24"/>
          <w:lang w:val="en-US" w:eastAsia="en-US"/>
        </w:rPr>
        <w:lastRenderedPageBreak/>
        <w:drawing>
          <wp:inline distT="0" distB="0" distL="0" distR="0" wp14:anchorId="4D76DFA1" wp14:editId="646E0618">
            <wp:extent cx="5943600" cy="4048760"/>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8"/>
                    <a:stretch>
                      <a:fillRect/>
                    </a:stretch>
                  </pic:blipFill>
                  <pic:spPr>
                    <a:xfrm>
                      <a:off x="0" y="0"/>
                      <a:ext cx="5943600" cy="4048760"/>
                    </a:xfrm>
                    <a:prstGeom prst="rect">
                      <a:avLst/>
                    </a:prstGeom>
                  </pic:spPr>
                </pic:pic>
              </a:graphicData>
            </a:graphic>
          </wp:inline>
        </w:drawing>
      </w:r>
      <w:r w:rsidRPr="00A95C12">
        <w:rPr>
          <w:rFonts w:ascii="Cambria" w:hAnsi="Cambria"/>
          <w:szCs w:val="24"/>
        </w:rPr>
        <w:t xml:space="preserve"> </w:t>
      </w:r>
    </w:p>
    <w:p w14:paraId="4D1C10E2" w14:textId="71663ED2" w:rsidR="00DF3C99" w:rsidRPr="00A95C12" w:rsidRDefault="00EC0480" w:rsidP="00D41DA3">
      <w:pPr>
        <w:spacing w:after="610" w:line="240" w:lineRule="auto"/>
        <w:ind w:left="740" w:right="0" w:firstLine="0"/>
        <w:jc w:val="left"/>
        <w:rPr>
          <w:rFonts w:ascii="Cambria" w:hAnsi="Cambria"/>
          <w:szCs w:val="24"/>
        </w:rPr>
      </w:pPr>
      <w:r w:rsidRPr="00A95C12">
        <w:rPr>
          <w:rFonts w:ascii="Cambria" w:hAnsi="Cambria"/>
          <w:b/>
          <w:szCs w:val="24"/>
        </w:rPr>
        <w:t>Fig 3.</w:t>
      </w:r>
      <w:r w:rsidRPr="00A95C12">
        <w:rPr>
          <w:rFonts w:ascii="Cambria" w:hAnsi="Cambria"/>
          <w:szCs w:val="24"/>
        </w:rPr>
        <w:t xml:space="preserve"> Total NPK fertiliser imports in Ghana from 2010-20</w:t>
      </w:r>
      <w:r w:rsidR="000454E6">
        <w:rPr>
          <w:rFonts w:ascii="Cambria" w:hAnsi="Cambria"/>
          <w:szCs w:val="24"/>
        </w:rPr>
        <w:t xml:space="preserve">19. Data sourced from FAO, </w:t>
      </w:r>
      <w:proofErr w:type="spellStart"/>
      <w:r w:rsidR="000454E6">
        <w:rPr>
          <w:rFonts w:ascii="Cambria" w:hAnsi="Cambria"/>
          <w:szCs w:val="24"/>
        </w:rPr>
        <w:t>MoFA</w:t>
      </w:r>
      <w:proofErr w:type="spellEnd"/>
      <w:r w:rsidR="000454E6">
        <w:rPr>
          <w:rFonts w:ascii="Cambria" w:hAnsi="Cambria"/>
          <w:szCs w:val="24"/>
        </w:rPr>
        <w:t xml:space="preserve"> and</w:t>
      </w:r>
      <w:r w:rsidRPr="00A95C12">
        <w:rPr>
          <w:rFonts w:ascii="Cambria" w:hAnsi="Cambria"/>
          <w:b/>
          <w:szCs w:val="24"/>
        </w:rPr>
        <w:t xml:space="preserve"> </w:t>
      </w:r>
      <w:r w:rsidRPr="00A95C12">
        <w:rPr>
          <w:rFonts w:ascii="Cambria" w:hAnsi="Cambria"/>
          <w:szCs w:val="24"/>
        </w:rPr>
        <w:t>COMESA</w:t>
      </w:r>
      <w:r w:rsidR="00D41DA3">
        <w:rPr>
          <w:rFonts w:ascii="Cambria" w:hAnsi="Cambria"/>
          <w:szCs w:val="24"/>
        </w:rPr>
        <w:t>.</w:t>
      </w:r>
      <w:r w:rsidRPr="00A95C12">
        <w:rPr>
          <w:rFonts w:ascii="Cambria" w:hAnsi="Cambria"/>
          <w:szCs w:val="24"/>
        </w:rPr>
        <w:t xml:space="preserve"> </w:t>
      </w:r>
    </w:p>
    <w:p w14:paraId="48C07A14" w14:textId="77777777" w:rsidR="00DF3C99" w:rsidRPr="00A95C12" w:rsidRDefault="00EC0480" w:rsidP="00B9391C">
      <w:pPr>
        <w:spacing w:after="352" w:line="240" w:lineRule="auto"/>
        <w:ind w:left="211" w:right="0" w:firstLine="0"/>
        <w:jc w:val="center"/>
        <w:rPr>
          <w:rFonts w:ascii="Cambria" w:hAnsi="Cambria"/>
          <w:szCs w:val="24"/>
        </w:rPr>
      </w:pPr>
      <w:r w:rsidRPr="00A95C12">
        <w:rPr>
          <w:rFonts w:ascii="Cambria" w:hAnsi="Cambria"/>
          <w:szCs w:val="24"/>
        </w:rPr>
        <w:t xml:space="preserve"> </w:t>
      </w:r>
    </w:p>
    <w:p w14:paraId="1B183227" w14:textId="77777777" w:rsidR="00DF3C99" w:rsidRPr="00A95C12" w:rsidRDefault="00EC0480" w:rsidP="00B9391C">
      <w:pPr>
        <w:spacing w:after="355" w:line="240" w:lineRule="auto"/>
        <w:ind w:left="211" w:right="0" w:firstLine="0"/>
        <w:jc w:val="center"/>
        <w:rPr>
          <w:rFonts w:ascii="Cambria" w:hAnsi="Cambria"/>
          <w:szCs w:val="24"/>
        </w:rPr>
      </w:pPr>
      <w:r w:rsidRPr="00A95C12">
        <w:rPr>
          <w:rFonts w:ascii="Cambria" w:hAnsi="Cambria"/>
          <w:szCs w:val="24"/>
        </w:rPr>
        <w:t xml:space="preserve"> </w:t>
      </w:r>
    </w:p>
    <w:p w14:paraId="0A48B054" w14:textId="77777777" w:rsidR="00DF3C99" w:rsidRPr="00A95C12" w:rsidRDefault="00EC0480" w:rsidP="00B9391C">
      <w:pPr>
        <w:spacing w:after="352" w:line="240" w:lineRule="auto"/>
        <w:ind w:left="211" w:right="0" w:firstLine="0"/>
        <w:jc w:val="center"/>
        <w:rPr>
          <w:rFonts w:ascii="Cambria" w:hAnsi="Cambria"/>
          <w:szCs w:val="24"/>
        </w:rPr>
      </w:pPr>
      <w:r w:rsidRPr="00A95C12">
        <w:rPr>
          <w:rFonts w:ascii="Cambria" w:hAnsi="Cambria"/>
          <w:szCs w:val="24"/>
        </w:rPr>
        <w:t xml:space="preserve"> </w:t>
      </w:r>
    </w:p>
    <w:p w14:paraId="21A135CC" w14:textId="77777777" w:rsidR="00DF3C99" w:rsidRPr="00A95C12" w:rsidRDefault="00EC0480" w:rsidP="00B9391C">
      <w:pPr>
        <w:spacing w:after="355" w:line="240" w:lineRule="auto"/>
        <w:ind w:left="211" w:right="0" w:firstLine="0"/>
        <w:jc w:val="center"/>
        <w:rPr>
          <w:rFonts w:ascii="Cambria" w:hAnsi="Cambria"/>
          <w:szCs w:val="24"/>
        </w:rPr>
      </w:pPr>
      <w:r w:rsidRPr="00A95C12">
        <w:rPr>
          <w:rFonts w:ascii="Cambria" w:hAnsi="Cambria"/>
          <w:szCs w:val="24"/>
        </w:rPr>
        <w:t xml:space="preserve"> </w:t>
      </w:r>
    </w:p>
    <w:p w14:paraId="40999E30" w14:textId="77777777" w:rsidR="00DF3C99" w:rsidRPr="00A95C12" w:rsidRDefault="00EC0480" w:rsidP="00B9391C">
      <w:pPr>
        <w:spacing w:after="352" w:line="240" w:lineRule="auto"/>
        <w:ind w:left="211" w:right="0" w:firstLine="0"/>
        <w:jc w:val="center"/>
        <w:rPr>
          <w:rFonts w:ascii="Cambria" w:hAnsi="Cambria"/>
          <w:szCs w:val="24"/>
        </w:rPr>
      </w:pPr>
      <w:r w:rsidRPr="00A95C12">
        <w:rPr>
          <w:rFonts w:ascii="Cambria" w:hAnsi="Cambria"/>
          <w:szCs w:val="24"/>
        </w:rPr>
        <w:t xml:space="preserve"> </w:t>
      </w:r>
    </w:p>
    <w:p w14:paraId="6056716D" w14:textId="77777777" w:rsidR="00DF3C99" w:rsidRPr="00A95C12" w:rsidRDefault="00EC0480" w:rsidP="00B9391C">
      <w:pPr>
        <w:spacing w:after="0" w:line="240" w:lineRule="auto"/>
        <w:ind w:left="211" w:right="0" w:firstLine="0"/>
        <w:jc w:val="center"/>
        <w:rPr>
          <w:rFonts w:ascii="Cambria" w:hAnsi="Cambria"/>
          <w:szCs w:val="24"/>
        </w:rPr>
      </w:pPr>
      <w:r w:rsidRPr="00A95C12">
        <w:rPr>
          <w:rFonts w:ascii="Cambria" w:hAnsi="Cambria"/>
          <w:szCs w:val="24"/>
        </w:rPr>
        <w:t xml:space="preserve"> </w:t>
      </w:r>
    </w:p>
    <w:p w14:paraId="6F4A4234" w14:textId="77777777" w:rsidR="00DF3C99" w:rsidRPr="00A95C12" w:rsidRDefault="00EC0480" w:rsidP="00B9391C">
      <w:pPr>
        <w:spacing w:after="352" w:line="240" w:lineRule="auto"/>
        <w:ind w:left="211" w:right="0" w:firstLine="0"/>
        <w:jc w:val="center"/>
        <w:rPr>
          <w:rFonts w:ascii="Cambria" w:hAnsi="Cambria"/>
          <w:szCs w:val="24"/>
        </w:rPr>
      </w:pPr>
      <w:r w:rsidRPr="00A95C12">
        <w:rPr>
          <w:rFonts w:ascii="Cambria" w:hAnsi="Cambria"/>
          <w:szCs w:val="24"/>
        </w:rPr>
        <w:t xml:space="preserve"> </w:t>
      </w:r>
    </w:p>
    <w:p w14:paraId="0EDABC68" w14:textId="77777777" w:rsidR="00DF3C99" w:rsidRPr="00A95C12" w:rsidRDefault="00EC0480" w:rsidP="00B9391C">
      <w:pPr>
        <w:spacing w:after="355" w:line="240" w:lineRule="auto"/>
        <w:ind w:left="211" w:right="0" w:firstLine="0"/>
        <w:jc w:val="center"/>
        <w:rPr>
          <w:rFonts w:ascii="Cambria" w:hAnsi="Cambria"/>
          <w:szCs w:val="24"/>
        </w:rPr>
      </w:pPr>
      <w:r w:rsidRPr="00A95C12">
        <w:rPr>
          <w:rFonts w:ascii="Cambria" w:hAnsi="Cambria"/>
          <w:szCs w:val="24"/>
        </w:rPr>
        <w:t xml:space="preserve"> </w:t>
      </w:r>
    </w:p>
    <w:p w14:paraId="787A8A77" w14:textId="77777777" w:rsidR="00DF3C99" w:rsidRPr="00A95C12" w:rsidRDefault="00EC0480" w:rsidP="00B9391C">
      <w:pPr>
        <w:spacing w:after="344" w:line="240" w:lineRule="auto"/>
        <w:ind w:left="211" w:right="0" w:firstLine="0"/>
        <w:jc w:val="center"/>
        <w:rPr>
          <w:rFonts w:ascii="Cambria" w:hAnsi="Cambria"/>
          <w:szCs w:val="24"/>
        </w:rPr>
      </w:pPr>
      <w:r w:rsidRPr="00A95C12">
        <w:rPr>
          <w:rFonts w:ascii="Cambria" w:hAnsi="Cambria"/>
          <w:szCs w:val="24"/>
        </w:rPr>
        <w:t xml:space="preserve"> </w:t>
      </w:r>
    </w:p>
    <w:p w14:paraId="101EE946" w14:textId="77777777" w:rsidR="00DF3C99" w:rsidRPr="00A95C12" w:rsidRDefault="00EC0480" w:rsidP="00B9391C">
      <w:pPr>
        <w:spacing w:after="616" w:line="240" w:lineRule="auto"/>
        <w:ind w:left="0" w:right="660" w:firstLine="0"/>
        <w:jc w:val="right"/>
        <w:rPr>
          <w:rFonts w:ascii="Cambria" w:hAnsi="Cambria"/>
          <w:szCs w:val="24"/>
        </w:rPr>
      </w:pPr>
      <w:r w:rsidRPr="00A95C12">
        <w:rPr>
          <w:rFonts w:ascii="Cambria" w:hAnsi="Cambria"/>
          <w:noProof/>
          <w:szCs w:val="24"/>
          <w:lang w:val="en-US" w:eastAsia="en-US"/>
        </w:rPr>
        <w:lastRenderedPageBreak/>
        <w:drawing>
          <wp:inline distT="0" distB="0" distL="0" distR="0" wp14:anchorId="6BECA20E" wp14:editId="7011DD08">
            <wp:extent cx="5943600" cy="419227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9"/>
                    <a:stretch>
                      <a:fillRect/>
                    </a:stretch>
                  </pic:blipFill>
                  <pic:spPr>
                    <a:xfrm>
                      <a:off x="0" y="0"/>
                      <a:ext cx="5943600" cy="4192270"/>
                    </a:xfrm>
                    <a:prstGeom prst="rect">
                      <a:avLst/>
                    </a:prstGeom>
                  </pic:spPr>
                </pic:pic>
              </a:graphicData>
            </a:graphic>
          </wp:inline>
        </w:drawing>
      </w:r>
      <w:r w:rsidRPr="00A95C12">
        <w:rPr>
          <w:rFonts w:ascii="Cambria" w:hAnsi="Cambria"/>
          <w:szCs w:val="24"/>
        </w:rPr>
        <w:t xml:space="preserve"> </w:t>
      </w:r>
    </w:p>
    <w:p w14:paraId="0CE7E798" w14:textId="10DEE5DD" w:rsidR="00DF3C99" w:rsidRPr="00A95C12" w:rsidRDefault="00EC0480" w:rsidP="00B9391C">
      <w:pPr>
        <w:spacing w:after="851" w:line="240" w:lineRule="auto"/>
        <w:ind w:left="-5" w:right="0"/>
        <w:jc w:val="left"/>
        <w:rPr>
          <w:rFonts w:ascii="Cambria" w:hAnsi="Cambria"/>
          <w:szCs w:val="24"/>
        </w:rPr>
      </w:pPr>
      <w:r w:rsidRPr="00A95C12">
        <w:rPr>
          <w:rFonts w:ascii="Cambria" w:hAnsi="Cambria"/>
          <w:b/>
          <w:szCs w:val="24"/>
        </w:rPr>
        <w:t>Fig 4.</w:t>
      </w:r>
      <w:r w:rsidRPr="00A95C12">
        <w:rPr>
          <w:rFonts w:ascii="Cambria" w:hAnsi="Cambria"/>
          <w:szCs w:val="24"/>
        </w:rPr>
        <w:t xml:space="preserve"> Total phosphorus-based fertiliser imports in Ghana from 2010-2019. Data sourced from FAO, </w:t>
      </w:r>
      <w:proofErr w:type="spellStart"/>
      <w:r w:rsidRPr="00A95C12">
        <w:rPr>
          <w:rFonts w:ascii="Cambria" w:hAnsi="Cambria"/>
          <w:szCs w:val="24"/>
        </w:rPr>
        <w:t>MoFA</w:t>
      </w:r>
      <w:proofErr w:type="spellEnd"/>
      <w:r w:rsidR="000454E6">
        <w:rPr>
          <w:rFonts w:ascii="Cambria" w:hAnsi="Cambria"/>
          <w:szCs w:val="24"/>
        </w:rPr>
        <w:t xml:space="preserve"> and</w:t>
      </w:r>
      <w:r w:rsidRPr="00A95C12">
        <w:rPr>
          <w:rFonts w:ascii="Cambria" w:hAnsi="Cambria"/>
          <w:b/>
          <w:szCs w:val="24"/>
        </w:rPr>
        <w:t xml:space="preserve"> </w:t>
      </w:r>
      <w:r w:rsidRPr="00A95C12">
        <w:rPr>
          <w:rFonts w:ascii="Cambria" w:hAnsi="Cambria"/>
          <w:szCs w:val="24"/>
        </w:rPr>
        <w:t>COMESA</w:t>
      </w:r>
      <w:r w:rsidR="00D41DA3">
        <w:rPr>
          <w:rFonts w:ascii="Cambria" w:hAnsi="Cambria"/>
          <w:szCs w:val="24"/>
        </w:rPr>
        <w:t>.</w:t>
      </w:r>
      <w:r w:rsidRPr="00A95C12">
        <w:rPr>
          <w:rFonts w:ascii="Cambria" w:hAnsi="Cambria"/>
          <w:szCs w:val="24"/>
        </w:rPr>
        <w:t xml:space="preserve"> </w:t>
      </w:r>
    </w:p>
    <w:p w14:paraId="37AC586F" w14:textId="77777777" w:rsidR="00DF3C99" w:rsidRPr="00A95C12" w:rsidRDefault="00EC0480" w:rsidP="00B9391C">
      <w:pPr>
        <w:spacing w:after="352" w:line="240" w:lineRule="auto"/>
        <w:ind w:left="872" w:right="0" w:firstLine="0"/>
        <w:jc w:val="left"/>
        <w:rPr>
          <w:rFonts w:ascii="Cambria" w:hAnsi="Cambria"/>
          <w:szCs w:val="24"/>
        </w:rPr>
      </w:pPr>
      <w:r w:rsidRPr="00A95C12">
        <w:rPr>
          <w:rFonts w:ascii="Cambria" w:hAnsi="Cambria"/>
          <w:b/>
          <w:szCs w:val="24"/>
        </w:rPr>
        <w:t xml:space="preserve"> </w:t>
      </w:r>
    </w:p>
    <w:p w14:paraId="69C96639" w14:textId="77777777" w:rsidR="00DF3C99" w:rsidRPr="00A95C12" w:rsidRDefault="00EC0480" w:rsidP="00B9391C">
      <w:pPr>
        <w:spacing w:after="355" w:line="240" w:lineRule="auto"/>
        <w:ind w:left="872" w:right="0" w:firstLine="0"/>
        <w:jc w:val="left"/>
        <w:rPr>
          <w:rFonts w:ascii="Cambria" w:hAnsi="Cambria"/>
          <w:szCs w:val="24"/>
        </w:rPr>
      </w:pPr>
      <w:r w:rsidRPr="00A95C12">
        <w:rPr>
          <w:rFonts w:ascii="Cambria" w:hAnsi="Cambria"/>
          <w:b/>
          <w:szCs w:val="24"/>
        </w:rPr>
        <w:t xml:space="preserve"> </w:t>
      </w:r>
    </w:p>
    <w:p w14:paraId="6E6398FB" w14:textId="77777777" w:rsidR="00DF3C99" w:rsidRPr="00A95C12" w:rsidRDefault="00EC0480" w:rsidP="00B9391C">
      <w:pPr>
        <w:spacing w:after="352" w:line="240" w:lineRule="auto"/>
        <w:ind w:left="872" w:right="0" w:firstLine="0"/>
        <w:jc w:val="left"/>
        <w:rPr>
          <w:rFonts w:ascii="Cambria" w:hAnsi="Cambria"/>
          <w:szCs w:val="24"/>
        </w:rPr>
      </w:pPr>
      <w:r w:rsidRPr="00A95C12">
        <w:rPr>
          <w:rFonts w:ascii="Cambria" w:hAnsi="Cambria"/>
          <w:b/>
          <w:szCs w:val="24"/>
        </w:rPr>
        <w:t xml:space="preserve"> </w:t>
      </w:r>
    </w:p>
    <w:p w14:paraId="7DF0D42F" w14:textId="77777777" w:rsidR="00DF3C99" w:rsidRPr="00A95C12" w:rsidRDefault="00EC0480" w:rsidP="00B9391C">
      <w:pPr>
        <w:spacing w:after="0" w:line="240" w:lineRule="auto"/>
        <w:ind w:left="872" w:right="0" w:firstLine="0"/>
        <w:jc w:val="left"/>
        <w:rPr>
          <w:rFonts w:ascii="Cambria" w:hAnsi="Cambria"/>
          <w:szCs w:val="24"/>
        </w:rPr>
      </w:pPr>
      <w:r w:rsidRPr="00A95C12">
        <w:rPr>
          <w:rFonts w:ascii="Cambria" w:hAnsi="Cambria"/>
          <w:b/>
          <w:szCs w:val="24"/>
        </w:rPr>
        <w:t xml:space="preserve"> </w:t>
      </w:r>
    </w:p>
    <w:p w14:paraId="1B090AC9" w14:textId="77777777" w:rsidR="00DF3C99" w:rsidRPr="00A95C12" w:rsidRDefault="00EC0480" w:rsidP="00B9391C">
      <w:pPr>
        <w:spacing w:after="352" w:line="240" w:lineRule="auto"/>
        <w:ind w:left="872" w:right="0" w:firstLine="0"/>
        <w:jc w:val="left"/>
        <w:rPr>
          <w:rFonts w:ascii="Cambria" w:hAnsi="Cambria"/>
          <w:szCs w:val="24"/>
        </w:rPr>
      </w:pPr>
      <w:r w:rsidRPr="00A95C12">
        <w:rPr>
          <w:rFonts w:ascii="Cambria" w:hAnsi="Cambria"/>
          <w:b/>
          <w:szCs w:val="24"/>
        </w:rPr>
        <w:t xml:space="preserve"> </w:t>
      </w:r>
    </w:p>
    <w:p w14:paraId="44EF704D" w14:textId="77777777" w:rsidR="00DF3C99" w:rsidRPr="00A95C12" w:rsidRDefault="00EC0480" w:rsidP="00B9391C">
      <w:pPr>
        <w:spacing w:after="345" w:line="240" w:lineRule="auto"/>
        <w:ind w:left="872" w:right="0" w:firstLine="0"/>
        <w:jc w:val="left"/>
        <w:rPr>
          <w:rFonts w:ascii="Cambria" w:hAnsi="Cambria"/>
          <w:szCs w:val="24"/>
        </w:rPr>
      </w:pPr>
      <w:r w:rsidRPr="00A95C12">
        <w:rPr>
          <w:rFonts w:ascii="Cambria" w:hAnsi="Cambria"/>
          <w:b/>
          <w:szCs w:val="24"/>
        </w:rPr>
        <w:t xml:space="preserve"> </w:t>
      </w:r>
    </w:p>
    <w:p w14:paraId="30B4050D" w14:textId="77777777" w:rsidR="00DF3C99" w:rsidRPr="00A95C12" w:rsidRDefault="00EC0480" w:rsidP="00B9391C">
      <w:pPr>
        <w:spacing w:after="438" w:line="240" w:lineRule="auto"/>
        <w:ind w:left="0" w:right="660" w:firstLine="0"/>
        <w:jc w:val="right"/>
        <w:rPr>
          <w:rFonts w:ascii="Cambria" w:hAnsi="Cambria"/>
          <w:szCs w:val="24"/>
        </w:rPr>
      </w:pPr>
      <w:r w:rsidRPr="00A95C12">
        <w:rPr>
          <w:rFonts w:ascii="Cambria" w:hAnsi="Cambria"/>
          <w:noProof/>
          <w:szCs w:val="24"/>
          <w:lang w:val="en-US" w:eastAsia="en-US"/>
        </w:rPr>
        <w:lastRenderedPageBreak/>
        <w:drawing>
          <wp:inline distT="0" distB="0" distL="0" distR="0" wp14:anchorId="7859761C" wp14:editId="1B151A44">
            <wp:extent cx="5943600" cy="4116071"/>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0"/>
                    <a:stretch>
                      <a:fillRect/>
                    </a:stretch>
                  </pic:blipFill>
                  <pic:spPr>
                    <a:xfrm>
                      <a:off x="0" y="0"/>
                      <a:ext cx="5943600" cy="4116071"/>
                    </a:xfrm>
                    <a:prstGeom prst="rect">
                      <a:avLst/>
                    </a:prstGeom>
                  </pic:spPr>
                </pic:pic>
              </a:graphicData>
            </a:graphic>
          </wp:inline>
        </w:drawing>
      </w:r>
      <w:r w:rsidRPr="00A95C12">
        <w:rPr>
          <w:rFonts w:ascii="Cambria" w:hAnsi="Cambria"/>
          <w:b/>
          <w:szCs w:val="24"/>
        </w:rPr>
        <w:t xml:space="preserve"> </w:t>
      </w:r>
    </w:p>
    <w:p w14:paraId="59374D3E" w14:textId="77777777" w:rsidR="00D41DA3" w:rsidRDefault="00EC0480" w:rsidP="00D41DA3">
      <w:pPr>
        <w:spacing w:after="111" w:line="240" w:lineRule="auto"/>
        <w:ind w:left="870" w:right="0"/>
        <w:jc w:val="left"/>
        <w:rPr>
          <w:rFonts w:ascii="Cambria" w:hAnsi="Cambria"/>
          <w:szCs w:val="24"/>
        </w:rPr>
      </w:pPr>
      <w:r w:rsidRPr="00A95C12">
        <w:rPr>
          <w:rFonts w:ascii="Cambria" w:hAnsi="Cambria"/>
          <w:b/>
          <w:szCs w:val="24"/>
        </w:rPr>
        <w:t>Fig 5.</w:t>
      </w:r>
      <w:r w:rsidRPr="00A95C12">
        <w:rPr>
          <w:rFonts w:ascii="Cambria" w:hAnsi="Cambria"/>
          <w:szCs w:val="24"/>
        </w:rPr>
        <w:t xml:space="preserve"> Total ammonium monophosphate fertiliser imports in Ghana from 2010-2019. Data sourced from FAO, </w:t>
      </w:r>
      <w:proofErr w:type="spellStart"/>
      <w:r w:rsidRPr="00A95C12">
        <w:rPr>
          <w:rFonts w:ascii="Cambria" w:hAnsi="Cambria"/>
          <w:szCs w:val="24"/>
        </w:rPr>
        <w:t>M</w:t>
      </w:r>
      <w:r w:rsidR="00D41DA3">
        <w:rPr>
          <w:rFonts w:ascii="Cambria" w:hAnsi="Cambria"/>
          <w:szCs w:val="24"/>
        </w:rPr>
        <w:t>oFA</w:t>
      </w:r>
      <w:proofErr w:type="spellEnd"/>
      <w:r w:rsidR="00D41DA3">
        <w:rPr>
          <w:rFonts w:ascii="Cambria" w:hAnsi="Cambria"/>
          <w:szCs w:val="24"/>
        </w:rPr>
        <w:t xml:space="preserve"> and</w:t>
      </w:r>
      <w:r w:rsidRPr="00A95C12">
        <w:rPr>
          <w:rFonts w:ascii="Cambria" w:hAnsi="Cambria"/>
          <w:b/>
          <w:szCs w:val="24"/>
        </w:rPr>
        <w:t xml:space="preserve"> </w:t>
      </w:r>
      <w:r w:rsidR="00D41DA3">
        <w:rPr>
          <w:rFonts w:ascii="Cambria" w:hAnsi="Cambria"/>
          <w:szCs w:val="24"/>
        </w:rPr>
        <w:t>COMESA.</w:t>
      </w:r>
    </w:p>
    <w:p w14:paraId="03E266B9" w14:textId="399B2EE5" w:rsidR="00DF3C99" w:rsidRPr="00A95C12" w:rsidRDefault="00EC0480" w:rsidP="00D41DA3">
      <w:pPr>
        <w:spacing w:after="111" w:line="240" w:lineRule="auto"/>
        <w:ind w:left="870" w:right="0"/>
        <w:jc w:val="left"/>
        <w:rPr>
          <w:rFonts w:ascii="Cambria" w:hAnsi="Cambria"/>
          <w:szCs w:val="24"/>
        </w:rPr>
      </w:pPr>
      <w:r w:rsidRPr="00A95C12">
        <w:rPr>
          <w:rFonts w:ascii="Cambria" w:hAnsi="Cambria"/>
          <w:b/>
          <w:szCs w:val="24"/>
        </w:rPr>
        <w:t xml:space="preserve"> </w:t>
      </w:r>
    </w:p>
    <w:p w14:paraId="570DC3AC" w14:textId="4DD58918" w:rsidR="00DF3C99" w:rsidRPr="00A95C12" w:rsidRDefault="00EC0480" w:rsidP="00D41DA3">
      <w:pPr>
        <w:spacing w:after="355" w:line="240" w:lineRule="auto"/>
        <w:ind w:left="872" w:right="0" w:firstLine="0"/>
        <w:jc w:val="left"/>
        <w:rPr>
          <w:rFonts w:ascii="Cambria" w:hAnsi="Cambria"/>
          <w:szCs w:val="24"/>
        </w:rPr>
      </w:pPr>
      <w:r w:rsidRPr="00A95C12">
        <w:rPr>
          <w:rFonts w:ascii="Cambria" w:hAnsi="Cambria"/>
          <w:b/>
          <w:szCs w:val="24"/>
        </w:rPr>
        <w:t xml:space="preserve">Policy recommendations to avert potential impacts on food security </w:t>
      </w:r>
    </w:p>
    <w:p w14:paraId="3A8E22C5" w14:textId="77777777" w:rsidR="000C3739" w:rsidRDefault="00EC0480" w:rsidP="000454E6">
      <w:pPr>
        <w:spacing w:line="240" w:lineRule="auto"/>
        <w:ind w:left="0" w:right="-1"/>
        <w:rPr>
          <w:rFonts w:ascii="Cambria" w:hAnsi="Cambria"/>
          <w:szCs w:val="24"/>
        </w:rPr>
      </w:pPr>
      <w:r w:rsidRPr="00A95C12">
        <w:rPr>
          <w:rFonts w:ascii="Cambria" w:hAnsi="Cambria"/>
          <w:szCs w:val="24"/>
        </w:rPr>
        <w:t xml:space="preserve">Priority needs to be given to remedying the situation now to avoid a significant output setback in 2022 and 2023. Investing in local production units will protect farmers in the event that critical imports fail to materialise. New fertiliser recommendations and blends for the Guinea Savannah and Forest-Savannah Transition agro-ecological zones by the Soil Research Institute (SRI-CSIR) should have extensive policy support for proper implementation of Integrated Soil Fertility Management with important stakeholder participation. </w:t>
      </w:r>
    </w:p>
    <w:p w14:paraId="46188110" w14:textId="07AA1AD9" w:rsidR="00DF3C99" w:rsidRPr="00A95C12" w:rsidRDefault="00EC0480" w:rsidP="000454E6">
      <w:pPr>
        <w:spacing w:line="240" w:lineRule="auto"/>
        <w:ind w:left="0" w:right="-1"/>
        <w:rPr>
          <w:rFonts w:ascii="Cambria" w:hAnsi="Cambria"/>
          <w:szCs w:val="24"/>
        </w:rPr>
      </w:pPr>
      <w:r w:rsidRPr="00A95C12">
        <w:rPr>
          <w:rFonts w:ascii="Cambria" w:hAnsi="Cambria"/>
          <w:szCs w:val="24"/>
        </w:rPr>
        <w:t xml:space="preserve">Additionally, government must encourage organic fertiliser producers through a purposeful and vigorous local production policy and subsidies to enhance production and protect smallholder farmers. In order for farmers to use local and indigenous methods to re-fertilise their soil, there must be alternatives to inorganic fertilisers such as composting and capacity building in </w:t>
      </w:r>
      <w:proofErr w:type="spellStart"/>
      <w:r w:rsidRPr="00A95C12">
        <w:rPr>
          <w:rFonts w:ascii="Cambria" w:hAnsi="Cambria"/>
          <w:szCs w:val="24"/>
        </w:rPr>
        <w:t>biofertiliser</w:t>
      </w:r>
      <w:proofErr w:type="spellEnd"/>
      <w:r w:rsidRPr="00A95C12">
        <w:rPr>
          <w:rFonts w:ascii="Cambria" w:hAnsi="Cambria"/>
          <w:szCs w:val="24"/>
        </w:rPr>
        <w:t xml:space="preserve"> formulation. Livestock and crop farming should be linked so that the livestock and crop farming can coexist, to ensure that the land is fertilised on a year-round basis with organic matter/</w:t>
      </w:r>
      <w:proofErr w:type="spellStart"/>
      <w:r w:rsidRPr="00A95C12">
        <w:rPr>
          <w:rFonts w:ascii="Cambria" w:hAnsi="Cambria"/>
          <w:szCs w:val="24"/>
        </w:rPr>
        <w:t>biofertilisers</w:t>
      </w:r>
      <w:proofErr w:type="spellEnd"/>
      <w:r w:rsidRPr="00A95C12">
        <w:rPr>
          <w:rFonts w:ascii="Cambria" w:hAnsi="Cambria"/>
          <w:szCs w:val="24"/>
        </w:rPr>
        <w:t xml:space="preserve">. </w:t>
      </w:r>
    </w:p>
    <w:p w14:paraId="351C2C03" w14:textId="3BC0375F" w:rsidR="00DF3C99" w:rsidRPr="00A95C12" w:rsidRDefault="00EC0480" w:rsidP="000454E6">
      <w:pPr>
        <w:spacing w:line="240" w:lineRule="auto"/>
        <w:ind w:left="0" w:right="-1"/>
        <w:rPr>
          <w:rFonts w:ascii="Cambria" w:hAnsi="Cambria"/>
          <w:szCs w:val="24"/>
        </w:rPr>
      </w:pPr>
      <w:r w:rsidRPr="00A95C12">
        <w:rPr>
          <w:rFonts w:ascii="Cambria" w:hAnsi="Cambria"/>
          <w:szCs w:val="24"/>
        </w:rPr>
        <w:t xml:space="preserve">Implement deliberate policies that encourage farmers to grow staple crops (such as millet, maize, beans, groundnuts, yam and cassava) that require less amounts of inorganic fertilisers to grow. COVID-19's impact on the </w:t>
      </w:r>
      <w:proofErr w:type="spellStart"/>
      <w:r w:rsidRPr="00A95C12">
        <w:rPr>
          <w:rFonts w:ascii="Cambria" w:hAnsi="Cambria"/>
          <w:szCs w:val="24"/>
        </w:rPr>
        <w:t>agrifood</w:t>
      </w:r>
      <w:proofErr w:type="spellEnd"/>
      <w:r w:rsidRPr="00A95C12">
        <w:rPr>
          <w:rFonts w:ascii="Cambria" w:hAnsi="Cambria"/>
          <w:szCs w:val="24"/>
        </w:rPr>
        <w:t xml:space="preserve"> sector has resulted in significant production losses, which necessitates urgent action by government to get additional supplies of fertiliser before </w:t>
      </w:r>
      <w:r w:rsidR="00D5707D">
        <w:rPr>
          <w:rFonts w:ascii="Cambria" w:hAnsi="Cambria"/>
          <w:szCs w:val="24"/>
        </w:rPr>
        <w:t xml:space="preserve">the </w:t>
      </w:r>
      <w:r w:rsidRPr="00A95C12">
        <w:rPr>
          <w:rFonts w:ascii="Cambria" w:hAnsi="Cambria"/>
          <w:szCs w:val="24"/>
        </w:rPr>
        <w:t>planting season</w:t>
      </w:r>
      <w:r w:rsidR="00D5707D">
        <w:rPr>
          <w:rFonts w:ascii="Cambria" w:hAnsi="Cambria"/>
          <w:szCs w:val="24"/>
        </w:rPr>
        <w:t>,</w:t>
      </w:r>
      <w:r w:rsidRPr="00A95C12">
        <w:rPr>
          <w:rFonts w:ascii="Cambria" w:hAnsi="Cambria"/>
          <w:szCs w:val="24"/>
        </w:rPr>
        <w:t xml:space="preserve"> especially in northern parts of the country. Government should provide support </w:t>
      </w:r>
      <w:r w:rsidR="00D5707D">
        <w:rPr>
          <w:rFonts w:ascii="Cambria" w:hAnsi="Cambria"/>
          <w:szCs w:val="24"/>
        </w:rPr>
        <w:t>for</w:t>
      </w:r>
      <w:r w:rsidRPr="00A95C12">
        <w:rPr>
          <w:rFonts w:ascii="Cambria" w:hAnsi="Cambria"/>
          <w:szCs w:val="24"/>
        </w:rPr>
        <w:t xml:space="preserve"> importers to diversi</w:t>
      </w:r>
      <w:r w:rsidR="00D5707D">
        <w:rPr>
          <w:rFonts w:ascii="Cambria" w:hAnsi="Cambria"/>
          <w:szCs w:val="24"/>
        </w:rPr>
        <w:t>fy fertiliser sourcing to shore-</w:t>
      </w:r>
      <w:r w:rsidRPr="00A95C12">
        <w:rPr>
          <w:rFonts w:ascii="Cambria" w:hAnsi="Cambria"/>
          <w:szCs w:val="24"/>
        </w:rPr>
        <w:t xml:space="preserve">up supply shortfall. </w:t>
      </w:r>
    </w:p>
    <w:p w14:paraId="3E58B602" w14:textId="267698C9" w:rsidR="00DF3C99" w:rsidRPr="00A95C12" w:rsidRDefault="00EC0480" w:rsidP="000454E6">
      <w:pPr>
        <w:spacing w:after="353" w:line="240" w:lineRule="auto"/>
        <w:ind w:left="0" w:right="-1" w:firstLine="0"/>
        <w:jc w:val="left"/>
        <w:rPr>
          <w:rFonts w:ascii="Cambria" w:hAnsi="Cambria"/>
          <w:szCs w:val="24"/>
        </w:rPr>
      </w:pPr>
      <w:r w:rsidRPr="00A95C12">
        <w:rPr>
          <w:rFonts w:ascii="Cambria" w:hAnsi="Cambria"/>
          <w:szCs w:val="24"/>
        </w:rPr>
        <w:lastRenderedPageBreak/>
        <w:t xml:space="preserve"> </w:t>
      </w:r>
      <w:r w:rsidRPr="00A95C12">
        <w:rPr>
          <w:rFonts w:ascii="Cambria" w:hAnsi="Cambria"/>
          <w:b/>
          <w:szCs w:val="24"/>
        </w:rPr>
        <w:t xml:space="preserve">Our policy recommendations for the northern sector </w:t>
      </w:r>
    </w:p>
    <w:p w14:paraId="79F1D979" w14:textId="77777777" w:rsidR="007E43CA" w:rsidRDefault="007E43CA" w:rsidP="000454E6">
      <w:pPr>
        <w:spacing w:after="1" w:line="240" w:lineRule="auto"/>
        <w:ind w:left="0" w:right="-1"/>
        <w:rPr>
          <w:rFonts w:ascii="Cambria" w:hAnsi="Cambria"/>
          <w:szCs w:val="24"/>
        </w:rPr>
      </w:pPr>
      <w:r>
        <w:rPr>
          <w:rFonts w:ascii="Cambria" w:hAnsi="Cambria"/>
          <w:szCs w:val="24"/>
        </w:rPr>
        <w:t>The soils of the Guinea s</w:t>
      </w:r>
      <w:r w:rsidR="00EC0480" w:rsidRPr="00A95C12">
        <w:rPr>
          <w:rFonts w:ascii="Cambria" w:hAnsi="Cambria"/>
          <w:szCs w:val="24"/>
        </w:rPr>
        <w:t>avanna</w:t>
      </w:r>
      <w:r>
        <w:rPr>
          <w:rFonts w:ascii="Cambria" w:hAnsi="Cambria"/>
          <w:szCs w:val="24"/>
        </w:rPr>
        <w:t>h</w:t>
      </w:r>
      <w:r w:rsidR="00EC0480" w:rsidRPr="00A95C12">
        <w:rPr>
          <w:rFonts w:ascii="Cambria" w:hAnsi="Cambria"/>
          <w:szCs w:val="24"/>
        </w:rPr>
        <w:t xml:space="preserve"> are infertile. Crop harvesting w</w:t>
      </w:r>
      <w:r>
        <w:rPr>
          <w:rFonts w:ascii="Cambria" w:hAnsi="Cambria"/>
          <w:szCs w:val="24"/>
        </w:rPr>
        <w:t>ithout replacement has compounded</w:t>
      </w:r>
      <w:r w:rsidR="00EC0480" w:rsidRPr="00A95C12">
        <w:rPr>
          <w:rFonts w:ascii="Cambria" w:hAnsi="Cambria"/>
          <w:szCs w:val="24"/>
        </w:rPr>
        <w:t xml:space="preserve"> this challenge. However, legumes can access atmospheric nitrogen through symbiotic nitrogen fixation, which can be limited by poor native rhizobia and unavailability of other minerals, particularly phosphorus (O'Hara et al. 2002). Recent studies by Adjei-Nsiah et al. (2018, 2019 and 2021) recommend adoption and use of different phosphorus-fertiliser blends by farmers as </w:t>
      </w:r>
      <w:r>
        <w:rPr>
          <w:rFonts w:ascii="Cambria" w:hAnsi="Cambria"/>
          <w:szCs w:val="24"/>
        </w:rPr>
        <w:t xml:space="preserve">an </w:t>
      </w:r>
      <w:r w:rsidR="00EC0480" w:rsidRPr="00A95C12">
        <w:rPr>
          <w:rFonts w:ascii="Cambria" w:hAnsi="Cambria"/>
          <w:szCs w:val="24"/>
        </w:rPr>
        <w:t>option for grain legume production in the Guinea savanna</w:t>
      </w:r>
      <w:r>
        <w:rPr>
          <w:rFonts w:ascii="Cambria" w:hAnsi="Cambria"/>
          <w:szCs w:val="24"/>
        </w:rPr>
        <w:t>h</w:t>
      </w:r>
      <w:r w:rsidR="00EC0480" w:rsidRPr="00A95C12">
        <w:rPr>
          <w:rFonts w:ascii="Cambria" w:hAnsi="Cambria"/>
          <w:szCs w:val="24"/>
        </w:rPr>
        <w:t xml:space="preserve"> agro-ecological zone of Ghana. </w:t>
      </w:r>
    </w:p>
    <w:p w14:paraId="6C4B37AD" w14:textId="12DB42DE" w:rsidR="00DF3C99" w:rsidRPr="00A95C12" w:rsidRDefault="00EC0480" w:rsidP="000454E6">
      <w:pPr>
        <w:spacing w:after="1" w:line="240" w:lineRule="auto"/>
        <w:ind w:left="0" w:right="-1"/>
        <w:rPr>
          <w:rFonts w:ascii="Cambria" w:hAnsi="Cambria"/>
          <w:szCs w:val="24"/>
        </w:rPr>
      </w:pPr>
      <w:r w:rsidRPr="00A95C12">
        <w:rPr>
          <w:rFonts w:ascii="Cambria" w:hAnsi="Cambria"/>
          <w:szCs w:val="24"/>
        </w:rPr>
        <w:t>Climate-smart agronomic practices and phosphorus-efficient cereal and grain legume varieties have been evaluated for use in the Guinea savanna</w:t>
      </w:r>
      <w:r w:rsidR="007E43CA">
        <w:rPr>
          <w:rFonts w:ascii="Cambria" w:hAnsi="Cambria"/>
          <w:szCs w:val="24"/>
        </w:rPr>
        <w:t>h</w:t>
      </w:r>
      <w:r w:rsidRPr="00A95C12">
        <w:rPr>
          <w:rFonts w:ascii="Cambria" w:hAnsi="Cambria"/>
          <w:szCs w:val="24"/>
        </w:rPr>
        <w:t xml:space="preserve"> agro-ecological zone by the International Institute of Tropical Agriculture (IITA) and Savanna</w:t>
      </w:r>
      <w:r w:rsidR="007E43CA">
        <w:rPr>
          <w:rFonts w:ascii="Cambria" w:hAnsi="Cambria"/>
          <w:szCs w:val="24"/>
        </w:rPr>
        <w:t>h</w:t>
      </w:r>
      <w:r w:rsidRPr="00A95C12">
        <w:rPr>
          <w:rFonts w:ascii="Cambria" w:hAnsi="Cambria"/>
          <w:szCs w:val="24"/>
        </w:rPr>
        <w:t xml:space="preserve"> Agricultural Research Institute (SARI-CSIR). To boost grain legume yields in savanna</w:t>
      </w:r>
      <w:r w:rsidR="007E43CA">
        <w:rPr>
          <w:rFonts w:ascii="Cambria" w:hAnsi="Cambria"/>
          <w:szCs w:val="24"/>
        </w:rPr>
        <w:t>h</w:t>
      </w:r>
      <w:r w:rsidRPr="00A95C12">
        <w:rPr>
          <w:rFonts w:ascii="Cambria" w:hAnsi="Cambria"/>
          <w:szCs w:val="24"/>
        </w:rPr>
        <w:t xml:space="preserve"> agro-ecological zones of Ghana, utilising rhizobium inoculants + phosphorus-based fertilisers, cultivating adapted and improved varieties may be the most economically viable and low risk solutions for our farmers in the five northern regions (</w:t>
      </w:r>
      <w:proofErr w:type="spellStart"/>
      <w:r w:rsidRPr="00A95C12">
        <w:rPr>
          <w:rFonts w:ascii="Cambria" w:hAnsi="Cambria"/>
          <w:szCs w:val="24"/>
        </w:rPr>
        <w:t>AdjeiNsiah</w:t>
      </w:r>
      <w:proofErr w:type="spellEnd"/>
      <w:r w:rsidRPr="00A95C12">
        <w:rPr>
          <w:rFonts w:ascii="Cambria" w:hAnsi="Cambria"/>
          <w:szCs w:val="24"/>
        </w:rPr>
        <w:t xml:space="preserve"> et al. 2018; 2021). Government should consider implementing the fertiliser subsidy policy across </w:t>
      </w:r>
      <w:r w:rsidR="007E43CA">
        <w:rPr>
          <w:rFonts w:ascii="Cambria" w:hAnsi="Cambria"/>
          <w:szCs w:val="24"/>
        </w:rPr>
        <w:t xml:space="preserve">the </w:t>
      </w:r>
      <w:r w:rsidRPr="00A95C12">
        <w:rPr>
          <w:rFonts w:ascii="Cambria" w:hAnsi="Cambria"/>
          <w:szCs w:val="24"/>
        </w:rPr>
        <w:t xml:space="preserve">board. </w:t>
      </w:r>
    </w:p>
    <w:p w14:paraId="1CA3D698" w14:textId="77777777" w:rsidR="00DF3C99" w:rsidRPr="00A95C12" w:rsidRDefault="00EC0480" w:rsidP="000454E6">
      <w:pPr>
        <w:spacing w:after="112" w:line="240" w:lineRule="auto"/>
        <w:ind w:left="0" w:right="-1" w:firstLine="0"/>
        <w:jc w:val="left"/>
        <w:rPr>
          <w:rFonts w:ascii="Cambria" w:hAnsi="Cambria"/>
          <w:szCs w:val="24"/>
        </w:rPr>
      </w:pPr>
      <w:r w:rsidRPr="00A95C12">
        <w:rPr>
          <w:rFonts w:ascii="Cambria" w:hAnsi="Cambria"/>
          <w:szCs w:val="24"/>
        </w:rPr>
        <w:t xml:space="preserve"> </w:t>
      </w:r>
    </w:p>
    <w:p w14:paraId="546C4AAD" w14:textId="77777777" w:rsidR="00DF3C99" w:rsidRPr="00A95C12" w:rsidRDefault="00EC0480" w:rsidP="000454E6">
      <w:pPr>
        <w:spacing w:after="276" w:line="240" w:lineRule="auto"/>
        <w:ind w:left="0" w:right="-1" w:firstLine="0"/>
        <w:jc w:val="left"/>
        <w:rPr>
          <w:rFonts w:ascii="Cambria" w:hAnsi="Cambria"/>
          <w:szCs w:val="24"/>
        </w:rPr>
      </w:pPr>
      <w:r w:rsidRPr="00A95C12">
        <w:rPr>
          <w:rFonts w:ascii="Cambria" w:hAnsi="Cambria"/>
          <w:szCs w:val="24"/>
        </w:rPr>
        <w:t xml:space="preserve"> </w:t>
      </w:r>
    </w:p>
    <w:p w14:paraId="2D79C064" w14:textId="03B0B17B" w:rsidR="00DF3C99" w:rsidRPr="00A95C12" w:rsidRDefault="00EC0480" w:rsidP="000454E6">
      <w:pPr>
        <w:spacing w:after="273" w:line="240" w:lineRule="auto"/>
        <w:ind w:left="0" w:right="-1"/>
        <w:jc w:val="left"/>
        <w:rPr>
          <w:rFonts w:ascii="Cambria" w:hAnsi="Cambria"/>
          <w:i/>
          <w:szCs w:val="24"/>
        </w:rPr>
      </w:pPr>
      <w:r w:rsidRPr="00A95C12">
        <w:rPr>
          <w:rFonts w:ascii="Cambria" w:hAnsi="Cambria"/>
          <w:i/>
          <w:szCs w:val="24"/>
        </w:rPr>
        <w:t xml:space="preserve">Written by Sebastian </w:t>
      </w:r>
      <w:proofErr w:type="spellStart"/>
      <w:r w:rsidRPr="00A95C12">
        <w:rPr>
          <w:rFonts w:ascii="Cambria" w:hAnsi="Cambria"/>
          <w:i/>
          <w:szCs w:val="24"/>
        </w:rPr>
        <w:t>Alesane</w:t>
      </w:r>
      <w:proofErr w:type="spellEnd"/>
      <w:r w:rsidRPr="00A95C12">
        <w:rPr>
          <w:rFonts w:ascii="Cambria" w:hAnsi="Cambria"/>
          <w:i/>
          <w:szCs w:val="24"/>
        </w:rPr>
        <w:t xml:space="preserve"> and edited by </w:t>
      </w:r>
      <w:proofErr w:type="spellStart"/>
      <w:r w:rsidRPr="00A95C12">
        <w:rPr>
          <w:rFonts w:ascii="Cambria" w:hAnsi="Cambria"/>
          <w:i/>
          <w:szCs w:val="24"/>
        </w:rPr>
        <w:t>Kojo</w:t>
      </w:r>
      <w:proofErr w:type="spellEnd"/>
      <w:r w:rsidRPr="00A95C12">
        <w:rPr>
          <w:rFonts w:ascii="Cambria" w:hAnsi="Cambria"/>
          <w:i/>
          <w:szCs w:val="24"/>
        </w:rPr>
        <w:t xml:space="preserve"> </w:t>
      </w:r>
      <w:proofErr w:type="spellStart"/>
      <w:r w:rsidRPr="00A95C12">
        <w:rPr>
          <w:rFonts w:ascii="Cambria" w:hAnsi="Cambria"/>
          <w:i/>
          <w:szCs w:val="24"/>
        </w:rPr>
        <w:t>Ahiakpa</w:t>
      </w:r>
      <w:proofErr w:type="spellEnd"/>
      <w:r w:rsidRPr="00A95C12">
        <w:rPr>
          <w:rFonts w:ascii="Cambria" w:hAnsi="Cambria"/>
          <w:i/>
          <w:szCs w:val="24"/>
        </w:rPr>
        <w:t xml:space="preserve"> </w:t>
      </w:r>
    </w:p>
    <w:p w14:paraId="00A0E88A" w14:textId="77777777" w:rsidR="007E43CA" w:rsidRDefault="00EC0480" w:rsidP="000454E6">
      <w:pPr>
        <w:spacing w:line="240" w:lineRule="auto"/>
        <w:ind w:left="0" w:right="-1"/>
        <w:rPr>
          <w:rFonts w:ascii="Cambria" w:eastAsia="Calibri" w:hAnsi="Cambria" w:cs="Calibri"/>
          <w:i/>
          <w:szCs w:val="24"/>
        </w:rPr>
      </w:pPr>
      <w:r w:rsidRPr="00A95C12">
        <w:rPr>
          <w:rFonts w:ascii="Cambria" w:hAnsi="Cambria"/>
          <w:i/>
          <w:szCs w:val="24"/>
        </w:rPr>
        <w:t>Policy and Research Bureau, Chamber of Agribusiness Ghana</w:t>
      </w:r>
      <w:r w:rsidRPr="00A95C12">
        <w:rPr>
          <w:rFonts w:ascii="Cambria" w:eastAsia="Calibri" w:hAnsi="Cambria" w:cs="Calibri"/>
          <w:i/>
          <w:szCs w:val="24"/>
        </w:rPr>
        <w:t xml:space="preserve">                             </w:t>
      </w:r>
    </w:p>
    <w:p w14:paraId="499F55FF" w14:textId="77777777" w:rsidR="007E43CA" w:rsidRDefault="007E43CA" w:rsidP="000454E6">
      <w:pPr>
        <w:spacing w:line="240" w:lineRule="auto"/>
        <w:ind w:left="0" w:right="-1"/>
        <w:rPr>
          <w:rFonts w:ascii="Cambria" w:eastAsia="Calibri" w:hAnsi="Cambria" w:cs="Calibri"/>
          <w:i/>
          <w:szCs w:val="24"/>
        </w:rPr>
      </w:pPr>
    </w:p>
    <w:p w14:paraId="32D697BE" w14:textId="00B2E7BD" w:rsidR="00DF3C99" w:rsidRPr="00A95C12" w:rsidRDefault="007E43CA" w:rsidP="000454E6">
      <w:pPr>
        <w:spacing w:line="240" w:lineRule="auto"/>
        <w:ind w:left="0" w:right="-1"/>
        <w:rPr>
          <w:rFonts w:ascii="Cambria" w:hAnsi="Cambria"/>
          <w:i/>
          <w:szCs w:val="24"/>
        </w:rPr>
      </w:pPr>
      <w:r>
        <w:rPr>
          <w:rFonts w:ascii="Cambria" w:eastAsia="Calibri" w:hAnsi="Cambria" w:cs="Calibri"/>
          <w:i/>
          <w:szCs w:val="24"/>
        </w:rPr>
        <w:t>FIN</w:t>
      </w:r>
      <w:bookmarkStart w:id="0" w:name="_GoBack"/>
      <w:bookmarkEnd w:id="0"/>
      <w:r w:rsidR="00EC0480" w:rsidRPr="00A95C12">
        <w:rPr>
          <w:rFonts w:ascii="Cambria" w:eastAsia="Calibri" w:hAnsi="Cambria" w:cs="Calibri"/>
          <w:i/>
          <w:szCs w:val="24"/>
        </w:rPr>
        <w:t xml:space="preserve">                                                             </w:t>
      </w:r>
    </w:p>
    <w:sectPr w:rsidR="00DF3C99" w:rsidRPr="00A95C12" w:rsidSect="00B9391C">
      <w:headerReference w:type="even" r:id="rId11"/>
      <w:headerReference w:type="default" r:id="rId12"/>
      <w:headerReference w:type="first" r:id="rId13"/>
      <w:pgSz w:w="11906" w:h="16838" w:code="9"/>
      <w:pgMar w:top="729" w:right="718" w:bottom="993" w:left="569"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493AE" w14:textId="77777777" w:rsidR="006E45F3" w:rsidRDefault="006E45F3">
      <w:pPr>
        <w:spacing w:after="0" w:line="240" w:lineRule="auto"/>
      </w:pPr>
      <w:r>
        <w:separator/>
      </w:r>
    </w:p>
  </w:endnote>
  <w:endnote w:type="continuationSeparator" w:id="0">
    <w:p w14:paraId="48A274E2" w14:textId="77777777" w:rsidR="006E45F3" w:rsidRDefault="006E4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D89DE" w14:textId="77777777" w:rsidR="006E45F3" w:rsidRDefault="006E45F3">
      <w:pPr>
        <w:spacing w:after="0" w:line="240" w:lineRule="auto"/>
      </w:pPr>
      <w:r>
        <w:separator/>
      </w:r>
    </w:p>
  </w:footnote>
  <w:footnote w:type="continuationSeparator" w:id="0">
    <w:p w14:paraId="4465AF13" w14:textId="77777777" w:rsidR="006E45F3" w:rsidRDefault="006E45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2A81A" w14:textId="77777777" w:rsidR="00DF3C99" w:rsidRDefault="00EC0480">
    <w:r>
      <w:rPr>
        <w:rFonts w:ascii="Calibri" w:eastAsia="Calibri" w:hAnsi="Calibri" w:cs="Calibri"/>
        <w:noProof/>
        <w:sz w:val="22"/>
        <w:lang w:val="en-US" w:eastAsia="en-US"/>
      </w:rPr>
      <mc:AlternateContent>
        <mc:Choice Requires="wpg">
          <w:drawing>
            <wp:anchor distT="0" distB="0" distL="114300" distR="114300" simplePos="0" relativeHeight="251658240" behindDoc="1" locked="0" layoutInCell="1" allowOverlap="1" wp14:anchorId="2EC4278D" wp14:editId="362E27DC">
              <wp:simplePos x="0" y="0"/>
              <wp:positionH relativeFrom="page">
                <wp:posOffset>228600</wp:posOffset>
              </wp:positionH>
              <wp:positionV relativeFrom="page">
                <wp:posOffset>1</wp:posOffset>
              </wp:positionV>
              <wp:extent cx="7324089" cy="10058394"/>
              <wp:effectExtent l="0" t="0" r="0" b="0"/>
              <wp:wrapNone/>
              <wp:docPr id="3247" name="Group 3247"/>
              <wp:cNvGraphicFramePr/>
              <a:graphic xmlns:a="http://schemas.openxmlformats.org/drawingml/2006/main">
                <a:graphicData uri="http://schemas.microsoft.com/office/word/2010/wordprocessingGroup">
                  <wpg:wgp>
                    <wpg:cNvGrpSpPr/>
                    <wpg:grpSpPr>
                      <a:xfrm>
                        <a:off x="0" y="0"/>
                        <a:ext cx="7324089" cy="10058394"/>
                        <a:chOff x="0" y="0"/>
                        <a:chExt cx="7324089" cy="10058394"/>
                      </a:xfrm>
                    </wpg:grpSpPr>
                    <pic:pic xmlns:pic="http://schemas.openxmlformats.org/drawingml/2006/picture">
                      <pic:nvPicPr>
                        <pic:cNvPr id="3248" name="Picture 3248"/>
                        <pic:cNvPicPr/>
                      </pic:nvPicPr>
                      <pic:blipFill>
                        <a:blip r:embed="rId1"/>
                        <a:stretch>
                          <a:fillRect/>
                        </a:stretch>
                      </pic:blipFill>
                      <pic:spPr>
                        <a:xfrm>
                          <a:off x="-3047" y="0"/>
                          <a:ext cx="7327393" cy="10055352"/>
                        </a:xfrm>
                        <a:prstGeom prst="rect">
                          <a:avLst/>
                        </a:prstGeom>
                      </pic:spPr>
                    </pic:pic>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247" style="width:576.7pt;height:792pt;position:absolute;z-index:-2147483648;mso-position-horizontal-relative:page;mso-position-horizontal:absolute;margin-left:18pt;mso-position-vertical-relative:page;margin-top:6.10352e-05pt;" coordsize="73240,100583">
              <v:shape id="Picture 3248" style="position:absolute;width:73273;height:100553;left:-30;top:0;" filled="f">
                <v:imagedata r:id="rId9"/>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9981C" w14:textId="77777777" w:rsidR="00DF3C99" w:rsidRDefault="00EC0480">
    <w:r>
      <w:rPr>
        <w:rFonts w:ascii="Calibri" w:eastAsia="Calibri" w:hAnsi="Calibri" w:cs="Calibri"/>
        <w:noProof/>
        <w:sz w:val="22"/>
        <w:lang w:val="en-US" w:eastAsia="en-US"/>
      </w:rPr>
      <mc:AlternateContent>
        <mc:Choice Requires="wpg">
          <w:drawing>
            <wp:anchor distT="0" distB="0" distL="114300" distR="114300" simplePos="0" relativeHeight="251659264" behindDoc="1" locked="0" layoutInCell="1" allowOverlap="1" wp14:anchorId="23BC0262" wp14:editId="7EB42CCF">
              <wp:simplePos x="0" y="0"/>
              <wp:positionH relativeFrom="page">
                <wp:posOffset>228600</wp:posOffset>
              </wp:positionH>
              <wp:positionV relativeFrom="page">
                <wp:posOffset>1</wp:posOffset>
              </wp:positionV>
              <wp:extent cx="7324089" cy="10058394"/>
              <wp:effectExtent l="0" t="0" r="0" b="0"/>
              <wp:wrapNone/>
              <wp:docPr id="3244" name="Group 3244"/>
              <wp:cNvGraphicFramePr/>
              <a:graphic xmlns:a="http://schemas.openxmlformats.org/drawingml/2006/main">
                <a:graphicData uri="http://schemas.microsoft.com/office/word/2010/wordprocessingGroup">
                  <wpg:wgp>
                    <wpg:cNvGrpSpPr/>
                    <wpg:grpSpPr>
                      <a:xfrm>
                        <a:off x="0" y="0"/>
                        <a:ext cx="7324089" cy="10058394"/>
                        <a:chOff x="0" y="0"/>
                        <a:chExt cx="7324089" cy="10058394"/>
                      </a:xfrm>
                    </wpg:grpSpPr>
                    <pic:pic xmlns:pic="http://schemas.openxmlformats.org/drawingml/2006/picture">
                      <pic:nvPicPr>
                        <pic:cNvPr id="3245" name="Picture 3245"/>
                        <pic:cNvPicPr/>
                      </pic:nvPicPr>
                      <pic:blipFill>
                        <a:blip r:embed="rId1"/>
                        <a:stretch>
                          <a:fillRect/>
                        </a:stretch>
                      </pic:blipFill>
                      <pic:spPr>
                        <a:xfrm>
                          <a:off x="-3047" y="0"/>
                          <a:ext cx="7327393" cy="10055352"/>
                        </a:xfrm>
                        <a:prstGeom prst="rect">
                          <a:avLst/>
                        </a:prstGeom>
                      </pic:spPr>
                    </pic:pic>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244" style="width:576.7pt;height:792pt;position:absolute;z-index:-2147483648;mso-position-horizontal-relative:page;mso-position-horizontal:absolute;margin-left:18pt;mso-position-vertical-relative:page;margin-top:6.10352e-05pt;" coordsize="73240,100583">
              <v:shape id="Picture 3245" style="position:absolute;width:73273;height:100553;left:-30;top:0;" filled="f">
                <v:imagedata r:id="rId9"/>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73915" w14:textId="77777777" w:rsidR="00DF3C99" w:rsidRDefault="00EC0480">
    <w:r>
      <w:rPr>
        <w:rFonts w:ascii="Calibri" w:eastAsia="Calibri" w:hAnsi="Calibri" w:cs="Calibri"/>
        <w:noProof/>
        <w:sz w:val="22"/>
        <w:lang w:val="en-US" w:eastAsia="en-US"/>
      </w:rPr>
      <mc:AlternateContent>
        <mc:Choice Requires="wpg">
          <w:drawing>
            <wp:anchor distT="0" distB="0" distL="114300" distR="114300" simplePos="0" relativeHeight="251660288" behindDoc="1" locked="0" layoutInCell="1" allowOverlap="1" wp14:anchorId="6127FEC7" wp14:editId="5666029D">
              <wp:simplePos x="0" y="0"/>
              <wp:positionH relativeFrom="page">
                <wp:posOffset>228600</wp:posOffset>
              </wp:positionH>
              <wp:positionV relativeFrom="page">
                <wp:posOffset>1</wp:posOffset>
              </wp:positionV>
              <wp:extent cx="7324089" cy="10058394"/>
              <wp:effectExtent l="0" t="0" r="0" b="0"/>
              <wp:wrapNone/>
              <wp:docPr id="3241" name="Group 3241"/>
              <wp:cNvGraphicFramePr/>
              <a:graphic xmlns:a="http://schemas.openxmlformats.org/drawingml/2006/main">
                <a:graphicData uri="http://schemas.microsoft.com/office/word/2010/wordprocessingGroup">
                  <wpg:wgp>
                    <wpg:cNvGrpSpPr/>
                    <wpg:grpSpPr>
                      <a:xfrm>
                        <a:off x="0" y="0"/>
                        <a:ext cx="7324089" cy="10058394"/>
                        <a:chOff x="0" y="0"/>
                        <a:chExt cx="7324089" cy="10058394"/>
                      </a:xfrm>
                    </wpg:grpSpPr>
                    <pic:pic xmlns:pic="http://schemas.openxmlformats.org/drawingml/2006/picture">
                      <pic:nvPicPr>
                        <pic:cNvPr id="3242" name="Picture 3242"/>
                        <pic:cNvPicPr/>
                      </pic:nvPicPr>
                      <pic:blipFill>
                        <a:blip r:embed="rId1"/>
                        <a:stretch>
                          <a:fillRect/>
                        </a:stretch>
                      </pic:blipFill>
                      <pic:spPr>
                        <a:xfrm>
                          <a:off x="-3047" y="0"/>
                          <a:ext cx="7327393" cy="10055352"/>
                        </a:xfrm>
                        <a:prstGeom prst="rect">
                          <a:avLst/>
                        </a:prstGeom>
                      </pic:spPr>
                    </pic:pic>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241" style="width:576.7pt;height:792pt;position:absolute;z-index:-2147483648;mso-position-horizontal-relative:page;mso-position-horizontal:absolute;margin-left:18pt;mso-position-vertical-relative:page;margin-top:6.10352e-05pt;" coordsize="73240,100583">
              <v:shape id="Picture 3242" style="position:absolute;width:73273;height:100553;left:-30;top:0;" filled="f">
                <v:imagedata r:id="rId9"/>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C99"/>
    <w:rsid w:val="000454E6"/>
    <w:rsid w:val="000C3739"/>
    <w:rsid w:val="00254C71"/>
    <w:rsid w:val="00445761"/>
    <w:rsid w:val="004D58F3"/>
    <w:rsid w:val="006E45F3"/>
    <w:rsid w:val="007E43CA"/>
    <w:rsid w:val="00967CEA"/>
    <w:rsid w:val="009707E3"/>
    <w:rsid w:val="00A95C12"/>
    <w:rsid w:val="00B9391C"/>
    <w:rsid w:val="00CD5AFA"/>
    <w:rsid w:val="00D41DA3"/>
    <w:rsid w:val="00D5707D"/>
    <w:rsid w:val="00DF3C99"/>
    <w:rsid w:val="00E60593"/>
    <w:rsid w:val="00EC0480"/>
    <w:rsid w:val="00FF00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3C385"/>
  <w15:docId w15:val="{3B52ABB2-FC72-44C2-95CC-8A00E6B02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1" w:line="357" w:lineRule="auto"/>
      <w:ind w:left="882" w:right="719"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338"/>
      <w:jc w:val="center"/>
      <w:outlineLvl w:val="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9" Type="http://schemas.openxmlformats.org/officeDocument/2006/relationships/image" Target="media/image60.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9" Type="http://schemas.openxmlformats.org/officeDocument/2006/relationships/image" Target="media/image60.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 Id="rId9"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AGRI GUIDE</dc:creator>
  <cp:keywords/>
  <cp:lastModifiedBy>Editorial Server</cp:lastModifiedBy>
  <cp:revision>8</cp:revision>
  <cp:lastPrinted>2022-03-23T12:15:00Z</cp:lastPrinted>
  <dcterms:created xsi:type="dcterms:W3CDTF">2022-03-23T12:12:00Z</dcterms:created>
  <dcterms:modified xsi:type="dcterms:W3CDTF">2022-03-23T16:39:00Z</dcterms:modified>
</cp:coreProperties>
</file>