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6E7" w14:textId="68B14212" w:rsidR="00CE6FB1" w:rsidRDefault="00CE6FB1" w:rsidP="00CE6FB1">
      <w:pPr>
        <w:jc w:val="center"/>
        <w:rPr>
          <w:b/>
          <w:bCs/>
          <w:lang w:val="en-GB"/>
        </w:rPr>
      </w:pPr>
      <w:bookmarkStart w:id="0" w:name="_Hlk52171328"/>
      <w:r>
        <w:rPr>
          <w:b/>
          <w:bCs/>
          <w:lang w:val="en-GB"/>
        </w:rPr>
        <w:t xml:space="preserve">PRESIDENT MAHAMA </w:t>
      </w:r>
      <w:r w:rsidR="004713FD">
        <w:rPr>
          <w:b/>
          <w:bCs/>
          <w:lang w:val="en-GB"/>
        </w:rPr>
        <w:t>LEFT A</w:t>
      </w:r>
      <w:r w:rsidR="00BC5D39">
        <w:rPr>
          <w:b/>
          <w:bCs/>
          <w:lang w:val="en-GB"/>
        </w:rPr>
        <w:t xml:space="preserve"> BETTER</w:t>
      </w:r>
    </w:p>
    <w:p w14:paraId="10BCDD84" w14:textId="6FDA0826" w:rsidR="00E210BB" w:rsidRDefault="00E834C3" w:rsidP="00CE6FB1">
      <w:pPr>
        <w:jc w:val="center"/>
        <w:rPr>
          <w:b/>
          <w:bCs/>
          <w:lang w:val="en-GB"/>
        </w:rPr>
      </w:pPr>
      <w:r w:rsidRPr="00CE6FB1">
        <w:rPr>
          <w:b/>
          <w:bCs/>
          <w:lang w:val="en-GB"/>
        </w:rPr>
        <w:t>ECONOM</w:t>
      </w:r>
      <w:r w:rsidR="00527D6F">
        <w:rPr>
          <w:b/>
          <w:bCs/>
          <w:lang w:val="en-GB"/>
        </w:rPr>
        <w:t>Y</w:t>
      </w:r>
      <w:bookmarkEnd w:id="0"/>
    </w:p>
    <w:p w14:paraId="42C534E4" w14:textId="77777777" w:rsidR="007D5678" w:rsidRDefault="007D5678" w:rsidP="00CE6FB1">
      <w:pPr>
        <w:jc w:val="center"/>
        <w:rPr>
          <w:b/>
          <w:bCs/>
          <w:lang w:val="en-GB"/>
        </w:rPr>
      </w:pPr>
    </w:p>
    <w:p w14:paraId="73E646F8" w14:textId="4C9EAE25" w:rsidR="007D5678" w:rsidRDefault="007D5678" w:rsidP="00CE6FB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PART 1: </w:t>
      </w:r>
      <w:r w:rsidR="00527D6F">
        <w:rPr>
          <w:b/>
          <w:bCs/>
          <w:lang w:val="en-GB"/>
        </w:rPr>
        <w:t>NANA ADDO GETS MORE IN 3 YEARS</w:t>
      </w:r>
    </w:p>
    <w:p w14:paraId="7E8BB1C1" w14:textId="68880E2F" w:rsidR="00527D6F" w:rsidRDefault="00527D6F" w:rsidP="00CE6FB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THAN MILLS/MAHAMA IN 6 YEARS</w:t>
      </w:r>
    </w:p>
    <w:p w14:paraId="1B2F2358" w14:textId="7A6B9B6A" w:rsidR="00CE6FB1" w:rsidRDefault="00CE6FB1" w:rsidP="00CE6FB1">
      <w:pPr>
        <w:jc w:val="center"/>
        <w:rPr>
          <w:b/>
          <w:bCs/>
          <w:lang w:val="en-GB"/>
        </w:rPr>
      </w:pPr>
    </w:p>
    <w:p w14:paraId="0D363768" w14:textId="581A5411" w:rsidR="00CE6FB1" w:rsidRDefault="00CE6FB1" w:rsidP="00CE6FB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Seth E. Terkper</w:t>
      </w:r>
    </w:p>
    <w:p w14:paraId="0517EE37" w14:textId="33FFC5CE" w:rsidR="00CE6FB1" w:rsidRPr="00CE6FB1" w:rsidRDefault="00CE6FB1" w:rsidP="00CE6FB1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[</w:t>
      </w:r>
      <w:r w:rsidR="00EF190E">
        <w:rPr>
          <w:b/>
          <w:bCs/>
          <w:lang w:val="en-GB"/>
        </w:rPr>
        <w:t>Former</w:t>
      </w:r>
      <w:r>
        <w:rPr>
          <w:b/>
          <w:bCs/>
          <w:lang w:val="en-GB"/>
        </w:rPr>
        <w:t xml:space="preserve"> Minister for Finance]</w:t>
      </w:r>
    </w:p>
    <w:p w14:paraId="2A41C8B1" w14:textId="79503162" w:rsidR="00E834C3" w:rsidRPr="00CE6FB1" w:rsidRDefault="00E834C3">
      <w:pPr>
        <w:rPr>
          <w:b/>
          <w:bCs/>
          <w:lang w:val="en-GB"/>
        </w:rPr>
      </w:pPr>
    </w:p>
    <w:p w14:paraId="14836D99" w14:textId="78FA7FFD" w:rsidR="00E834C3" w:rsidRPr="00CE6FB1" w:rsidRDefault="00E834C3" w:rsidP="0077187B">
      <w:pPr>
        <w:pStyle w:val="ListParagraph"/>
        <w:numPr>
          <w:ilvl w:val="0"/>
          <w:numId w:val="7"/>
        </w:numPr>
        <w:ind w:hanging="720"/>
        <w:rPr>
          <w:b/>
          <w:bCs/>
          <w:lang w:val="en-GB"/>
        </w:rPr>
      </w:pPr>
      <w:r w:rsidRPr="00CE6FB1">
        <w:rPr>
          <w:b/>
          <w:bCs/>
          <w:lang w:val="en-GB"/>
        </w:rPr>
        <w:t>Introduction</w:t>
      </w:r>
    </w:p>
    <w:p w14:paraId="49597A05" w14:textId="08AAE1EB" w:rsidR="00E834C3" w:rsidRDefault="00E834C3">
      <w:pPr>
        <w:rPr>
          <w:lang w:val="en-GB"/>
        </w:rPr>
      </w:pPr>
    </w:p>
    <w:p w14:paraId="7F85B590" w14:textId="74FDECB8" w:rsidR="00C80329" w:rsidRDefault="00E834C3">
      <w:pPr>
        <w:rPr>
          <w:lang w:val="en-GB"/>
        </w:rPr>
      </w:pPr>
      <w:r>
        <w:rPr>
          <w:lang w:val="en-GB"/>
        </w:rPr>
        <w:tab/>
      </w:r>
      <w:r w:rsidR="00BC5D39">
        <w:rPr>
          <w:lang w:val="en-GB"/>
        </w:rPr>
        <w:t>T</w:t>
      </w:r>
      <w:r w:rsidR="00665EC9">
        <w:rPr>
          <w:lang w:val="en-GB"/>
        </w:rPr>
        <w:t xml:space="preserve">he </w:t>
      </w:r>
      <w:r w:rsidR="00BC5D39">
        <w:rPr>
          <w:lang w:val="en-GB"/>
        </w:rPr>
        <w:t>Government</w:t>
      </w:r>
      <w:r w:rsidR="00665EC9">
        <w:rPr>
          <w:lang w:val="en-GB"/>
        </w:rPr>
        <w:t xml:space="preserve"> </w:t>
      </w:r>
      <w:r w:rsidR="00AA3A7A">
        <w:rPr>
          <w:lang w:val="en-GB"/>
        </w:rPr>
        <w:t xml:space="preserve">keeps </w:t>
      </w:r>
      <w:r w:rsidR="00B77D92">
        <w:rPr>
          <w:lang w:val="en-GB"/>
        </w:rPr>
        <w:t>repeat</w:t>
      </w:r>
      <w:r w:rsidR="00AA3A7A">
        <w:rPr>
          <w:lang w:val="en-GB"/>
        </w:rPr>
        <w:t>ing</w:t>
      </w:r>
      <w:r>
        <w:rPr>
          <w:lang w:val="en-GB"/>
        </w:rPr>
        <w:t xml:space="preserve"> that </w:t>
      </w:r>
      <w:r w:rsidR="00E525BD" w:rsidRPr="00AA3A7A">
        <w:rPr>
          <w:i/>
          <w:iCs/>
          <w:u w:val="single"/>
          <w:lang w:val="en-GB"/>
        </w:rPr>
        <w:t xml:space="preserve">its predecessor </w:t>
      </w:r>
      <w:r w:rsidR="00F1178D" w:rsidRPr="00AA3A7A">
        <w:rPr>
          <w:i/>
          <w:iCs/>
          <w:u w:val="single"/>
          <w:lang w:val="en-GB"/>
        </w:rPr>
        <w:t>left</w:t>
      </w:r>
      <w:r w:rsidRPr="00AA3A7A">
        <w:rPr>
          <w:i/>
          <w:iCs/>
          <w:u w:val="single"/>
          <w:lang w:val="en-GB"/>
        </w:rPr>
        <w:t xml:space="preserve"> a we</w:t>
      </w:r>
      <w:r w:rsidR="00304F6E" w:rsidRPr="00AA3A7A">
        <w:rPr>
          <w:i/>
          <w:iCs/>
          <w:u w:val="single"/>
          <w:lang w:val="en-GB"/>
        </w:rPr>
        <w:t>a</w:t>
      </w:r>
      <w:r w:rsidRPr="00AA3A7A">
        <w:rPr>
          <w:i/>
          <w:iCs/>
          <w:u w:val="single"/>
          <w:lang w:val="en-GB"/>
        </w:rPr>
        <w:t>k economy at end</w:t>
      </w:r>
      <w:r w:rsidR="00F1178D" w:rsidRPr="00AA3A7A">
        <w:rPr>
          <w:i/>
          <w:iCs/>
          <w:u w:val="single"/>
          <w:lang w:val="en-GB"/>
        </w:rPr>
        <w:t>-</w:t>
      </w:r>
      <w:r w:rsidRPr="00AA3A7A">
        <w:rPr>
          <w:i/>
          <w:iCs/>
          <w:u w:val="single"/>
          <w:lang w:val="en-GB"/>
        </w:rPr>
        <w:t>2016</w:t>
      </w:r>
      <w:r w:rsidR="00AA3A7A">
        <w:rPr>
          <w:lang w:val="en-GB"/>
        </w:rPr>
        <w:t>. In trumpeting this view, it deliberately ignores the legacy of</w:t>
      </w:r>
      <w:r w:rsidR="00E525BD">
        <w:rPr>
          <w:lang w:val="en-GB"/>
        </w:rPr>
        <w:t xml:space="preserve"> </w:t>
      </w:r>
      <w:r w:rsidR="00C80329">
        <w:rPr>
          <w:lang w:val="en-GB"/>
        </w:rPr>
        <w:t>opportunities</w:t>
      </w:r>
      <w:r w:rsidR="00AA3A7A">
        <w:rPr>
          <w:lang w:val="en-GB"/>
        </w:rPr>
        <w:t xml:space="preserve"> created, despite major</w:t>
      </w:r>
      <w:r w:rsidR="00C80329">
        <w:rPr>
          <w:lang w:val="en-GB"/>
        </w:rPr>
        <w:t xml:space="preserve"> </w:t>
      </w:r>
      <w:r w:rsidR="00CE6FB1">
        <w:rPr>
          <w:lang w:val="en-GB"/>
        </w:rPr>
        <w:t>challenges</w:t>
      </w:r>
      <w:r w:rsidR="00C80329">
        <w:rPr>
          <w:lang w:val="en-GB"/>
        </w:rPr>
        <w:t xml:space="preserve">. </w:t>
      </w:r>
      <w:r w:rsidR="00662CDF">
        <w:rPr>
          <w:lang w:val="en-GB"/>
        </w:rPr>
        <w:t>Rather</w:t>
      </w:r>
      <w:r w:rsidR="00E525BD">
        <w:rPr>
          <w:lang w:val="en-GB"/>
        </w:rPr>
        <w:t>, i</w:t>
      </w:r>
      <w:r w:rsidR="00A84603">
        <w:rPr>
          <w:lang w:val="en-GB"/>
        </w:rPr>
        <w:t>t</w:t>
      </w:r>
      <w:r w:rsidR="00E525BD">
        <w:rPr>
          <w:lang w:val="en-GB"/>
        </w:rPr>
        <w:t>s</w:t>
      </w:r>
      <w:r w:rsidR="00F1178D">
        <w:rPr>
          <w:lang w:val="en-GB"/>
        </w:rPr>
        <w:t xml:space="preserve"> </w:t>
      </w:r>
      <w:r w:rsidR="00EA071D">
        <w:rPr>
          <w:lang w:val="en-GB"/>
        </w:rPr>
        <w:t>distortion of</w:t>
      </w:r>
      <w:r w:rsidR="00BC5D39">
        <w:rPr>
          <w:lang w:val="en-GB"/>
        </w:rPr>
        <w:t xml:space="preserve"> </w:t>
      </w:r>
      <w:r w:rsidR="004713FD">
        <w:rPr>
          <w:lang w:val="en-GB"/>
        </w:rPr>
        <w:t>2016</w:t>
      </w:r>
      <w:r w:rsidR="00AA3A7A">
        <w:rPr>
          <w:lang w:val="en-GB"/>
        </w:rPr>
        <w:t xml:space="preserve"> data and poor</w:t>
      </w:r>
      <w:r w:rsidR="00BC5D39">
        <w:rPr>
          <w:lang w:val="en-GB"/>
        </w:rPr>
        <w:t xml:space="preserve"> </w:t>
      </w:r>
      <w:r w:rsidR="00C80329">
        <w:rPr>
          <w:lang w:val="en-GB"/>
        </w:rPr>
        <w:t>performance</w:t>
      </w:r>
      <w:r w:rsidR="00AA3A7A">
        <w:rPr>
          <w:lang w:val="en-GB"/>
        </w:rPr>
        <w:t xml:space="preserve"> </w:t>
      </w:r>
      <w:r w:rsidR="00662CDF">
        <w:rPr>
          <w:lang w:val="en-GB"/>
        </w:rPr>
        <w:t>from 2017-</w:t>
      </w:r>
      <w:r w:rsidR="00AA3A7A">
        <w:rPr>
          <w:lang w:val="en-GB"/>
        </w:rPr>
        <w:t>to</w:t>
      </w:r>
      <w:r w:rsidR="00662CDF">
        <w:rPr>
          <w:lang w:val="en-GB"/>
        </w:rPr>
        <w:t>-</w:t>
      </w:r>
      <w:r w:rsidR="00AA3A7A">
        <w:rPr>
          <w:lang w:val="en-GB"/>
        </w:rPr>
        <w:t>date</w:t>
      </w:r>
      <w:r w:rsidR="004713FD">
        <w:rPr>
          <w:lang w:val="en-GB"/>
        </w:rPr>
        <w:t xml:space="preserve"> is </w:t>
      </w:r>
      <w:r w:rsidR="00C80329">
        <w:rPr>
          <w:lang w:val="en-GB"/>
        </w:rPr>
        <w:t>expos</w:t>
      </w:r>
      <w:r w:rsidR="00AA3A7A">
        <w:rPr>
          <w:lang w:val="en-GB"/>
        </w:rPr>
        <w:t>ing</w:t>
      </w:r>
      <w:r w:rsidR="00C80329">
        <w:rPr>
          <w:lang w:val="en-GB"/>
        </w:rPr>
        <w:t xml:space="preserve"> a </w:t>
      </w:r>
      <w:r w:rsidR="004713FD">
        <w:rPr>
          <w:lang w:val="en-GB"/>
        </w:rPr>
        <w:t>wors</w:t>
      </w:r>
      <w:r w:rsidR="00E525BD">
        <w:rPr>
          <w:lang w:val="en-GB"/>
        </w:rPr>
        <w:t>e</w:t>
      </w:r>
      <w:r w:rsidR="004713FD">
        <w:rPr>
          <w:lang w:val="en-GB"/>
        </w:rPr>
        <w:t xml:space="preserve"> legacy </w:t>
      </w:r>
      <w:r w:rsidR="00AA3A7A">
        <w:rPr>
          <w:lang w:val="en-GB"/>
        </w:rPr>
        <w:t>at</w:t>
      </w:r>
      <w:r w:rsidR="004713FD">
        <w:rPr>
          <w:lang w:val="en-GB"/>
        </w:rPr>
        <w:t xml:space="preserve"> end</w:t>
      </w:r>
      <w:r w:rsidR="00BC5D39">
        <w:rPr>
          <w:lang w:val="en-GB"/>
        </w:rPr>
        <w:t>-</w:t>
      </w:r>
      <w:r w:rsidR="004713FD">
        <w:rPr>
          <w:lang w:val="en-GB"/>
        </w:rPr>
        <w:t>2020</w:t>
      </w:r>
      <w:r w:rsidR="00BC5D39">
        <w:rPr>
          <w:lang w:val="en-GB"/>
        </w:rPr>
        <w:t xml:space="preserve">. </w:t>
      </w:r>
      <w:r w:rsidR="00AA3A7A">
        <w:rPr>
          <w:lang w:val="en-GB"/>
        </w:rPr>
        <w:t xml:space="preserve">It </w:t>
      </w:r>
      <w:r w:rsidR="00A84603">
        <w:rPr>
          <w:i/>
          <w:iCs/>
          <w:u w:val="single"/>
          <w:lang w:val="en-GB"/>
        </w:rPr>
        <w:t>strenuous</w:t>
      </w:r>
      <w:r w:rsidR="00AA3A7A">
        <w:rPr>
          <w:i/>
          <w:iCs/>
          <w:u w:val="single"/>
          <w:lang w:val="en-GB"/>
        </w:rPr>
        <w:t>ly</w:t>
      </w:r>
      <w:r w:rsidR="00A84603">
        <w:rPr>
          <w:i/>
          <w:iCs/>
          <w:u w:val="single"/>
          <w:lang w:val="en-GB"/>
        </w:rPr>
        <w:t xml:space="preserve"> but f</w:t>
      </w:r>
      <w:r w:rsidR="00826581" w:rsidRPr="00F1178D">
        <w:rPr>
          <w:i/>
          <w:iCs/>
          <w:u w:val="single"/>
          <w:lang w:val="en-GB"/>
        </w:rPr>
        <w:t>ail</w:t>
      </w:r>
      <w:r w:rsidR="00AA3A7A">
        <w:rPr>
          <w:i/>
          <w:iCs/>
          <w:u w:val="single"/>
          <w:lang w:val="en-GB"/>
        </w:rPr>
        <w:t>s</w:t>
      </w:r>
      <w:r w:rsidR="00826581" w:rsidRPr="00F1178D">
        <w:rPr>
          <w:i/>
          <w:iCs/>
          <w:u w:val="single"/>
          <w:lang w:val="en-GB"/>
        </w:rPr>
        <w:t xml:space="preserve"> to </w:t>
      </w:r>
      <w:r w:rsidR="004713FD" w:rsidRPr="00F1178D">
        <w:rPr>
          <w:i/>
          <w:iCs/>
          <w:u w:val="single"/>
          <w:lang w:val="en-GB"/>
        </w:rPr>
        <w:t xml:space="preserve">blame </w:t>
      </w:r>
      <w:r w:rsidR="00A84603">
        <w:rPr>
          <w:i/>
          <w:iCs/>
          <w:u w:val="single"/>
          <w:lang w:val="en-GB"/>
        </w:rPr>
        <w:t xml:space="preserve">huge </w:t>
      </w:r>
      <w:r w:rsidR="00F1178D">
        <w:rPr>
          <w:i/>
          <w:iCs/>
          <w:u w:val="single"/>
          <w:lang w:val="en-GB"/>
        </w:rPr>
        <w:t xml:space="preserve">pre-COVID-19 </w:t>
      </w:r>
      <w:r w:rsidR="00826581" w:rsidRPr="00F1178D">
        <w:rPr>
          <w:i/>
          <w:iCs/>
          <w:u w:val="single"/>
          <w:lang w:val="en-GB"/>
        </w:rPr>
        <w:t xml:space="preserve">fiscal gaps </w:t>
      </w:r>
      <w:r w:rsidR="00F1178D" w:rsidRPr="00F1178D">
        <w:rPr>
          <w:i/>
          <w:iCs/>
          <w:u w:val="single"/>
          <w:lang w:val="en-GB"/>
        </w:rPr>
        <w:t xml:space="preserve">from </w:t>
      </w:r>
      <w:r w:rsidR="00EA071D">
        <w:rPr>
          <w:i/>
          <w:iCs/>
          <w:u w:val="single"/>
          <w:lang w:val="en-GB"/>
        </w:rPr>
        <w:t>distorted</w:t>
      </w:r>
      <w:r w:rsidR="00A84603">
        <w:rPr>
          <w:i/>
          <w:iCs/>
          <w:u w:val="single"/>
          <w:lang w:val="en-GB"/>
        </w:rPr>
        <w:t xml:space="preserve"> </w:t>
      </w:r>
      <w:r w:rsidR="00F1178D">
        <w:rPr>
          <w:i/>
          <w:iCs/>
          <w:u w:val="single"/>
          <w:lang w:val="en-GB"/>
        </w:rPr>
        <w:t>data</w:t>
      </w:r>
      <w:r w:rsidR="00F1178D" w:rsidRPr="00F1178D">
        <w:rPr>
          <w:i/>
          <w:iCs/>
          <w:u w:val="single"/>
          <w:lang w:val="en-GB"/>
        </w:rPr>
        <w:t xml:space="preserve"> </w:t>
      </w:r>
      <w:r w:rsidR="00AA3A7A">
        <w:rPr>
          <w:i/>
          <w:iCs/>
          <w:u w:val="single"/>
          <w:lang w:val="en-GB"/>
        </w:rPr>
        <w:t xml:space="preserve">since </w:t>
      </w:r>
      <w:r w:rsidR="00F1178D" w:rsidRPr="00F1178D">
        <w:rPr>
          <w:i/>
          <w:iCs/>
          <w:u w:val="single"/>
          <w:lang w:val="en-GB"/>
        </w:rPr>
        <w:t>2017</w:t>
      </w:r>
      <w:r w:rsidR="00BC5D39" w:rsidRPr="00F1178D">
        <w:rPr>
          <w:i/>
          <w:iCs/>
          <w:u w:val="single"/>
          <w:lang w:val="en-GB"/>
        </w:rPr>
        <w:t xml:space="preserve"> </w:t>
      </w:r>
      <w:r w:rsidR="004713FD" w:rsidRPr="00F1178D">
        <w:rPr>
          <w:i/>
          <w:iCs/>
          <w:u w:val="single"/>
          <w:lang w:val="en-GB"/>
        </w:rPr>
        <w:t>on the pandemic</w:t>
      </w:r>
      <w:r w:rsidR="00B77D92">
        <w:rPr>
          <w:lang w:val="en-GB"/>
        </w:rPr>
        <w:t>.</w:t>
      </w:r>
    </w:p>
    <w:p w14:paraId="7744FD27" w14:textId="77777777" w:rsidR="00C80329" w:rsidRDefault="00C80329">
      <w:pPr>
        <w:rPr>
          <w:lang w:val="en-GB"/>
        </w:rPr>
      </w:pPr>
    </w:p>
    <w:p w14:paraId="0E21302A" w14:textId="14E3CFF7" w:rsidR="00CE6FB1" w:rsidRDefault="00AA3A7A" w:rsidP="00425B70">
      <w:pPr>
        <w:ind w:firstLine="720"/>
        <w:rPr>
          <w:lang w:val="en-GB"/>
        </w:rPr>
      </w:pPr>
      <w:r>
        <w:rPr>
          <w:i/>
          <w:iCs/>
          <w:u w:val="single"/>
          <w:lang w:val="en-GB"/>
        </w:rPr>
        <w:t xml:space="preserve">The </w:t>
      </w:r>
      <w:r w:rsidR="00B77D92" w:rsidRPr="00F1178D">
        <w:rPr>
          <w:i/>
          <w:iCs/>
          <w:u w:val="single"/>
          <w:lang w:val="en-GB"/>
        </w:rPr>
        <w:t>revision</w:t>
      </w:r>
      <w:r>
        <w:rPr>
          <w:i/>
          <w:iCs/>
          <w:u w:val="single"/>
          <w:lang w:val="en-GB"/>
        </w:rPr>
        <w:t>s</w:t>
      </w:r>
      <w:r w:rsidR="00B77D92" w:rsidRPr="00F1178D">
        <w:rPr>
          <w:i/>
          <w:iCs/>
          <w:u w:val="single"/>
          <w:lang w:val="en-GB"/>
        </w:rPr>
        <w:t xml:space="preserve"> </w:t>
      </w:r>
      <w:r w:rsidR="00EA071D">
        <w:rPr>
          <w:i/>
          <w:iCs/>
          <w:u w:val="single"/>
          <w:lang w:val="en-GB"/>
        </w:rPr>
        <w:t>and</w:t>
      </w:r>
      <w:r w:rsidR="00C80329" w:rsidRPr="00F1178D">
        <w:rPr>
          <w:i/>
          <w:iCs/>
          <w:u w:val="single"/>
          <w:lang w:val="en-GB"/>
        </w:rPr>
        <w:t xml:space="preserve"> qualification </w:t>
      </w:r>
      <w:r w:rsidR="00B77D92" w:rsidRPr="00F1178D">
        <w:rPr>
          <w:i/>
          <w:iCs/>
          <w:u w:val="single"/>
          <w:lang w:val="en-GB"/>
        </w:rPr>
        <w:t>of data</w:t>
      </w:r>
      <w:r w:rsidR="00C80329">
        <w:rPr>
          <w:lang w:val="en-GB"/>
        </w:rPr>
        <w:t xml:space="preserve"> by </w:t>
      </w:r>
      <w:r w:rsidR="00826581">
        <w:rPr>
          <w:lang w:val="en-GB"/>
        </w:rPr>
        <w:t>th</w:t>
      </w:r>
      <w:r w:rsidR="00A84603">
        <w:rPr>
          <w:lang w:val="en-GB"/>
        </w:rPr>
        <w:t>is</w:t>
      </w:r>
      <w:r w:rsidR="00826581">
        <w:rPr>
          <w:lang w:val="en-GB"/>
        </w:rPr>
        <w:t xml:space="preserve"> writer, </w:t>
      </w:r>
      <w:r w:rsidR="00FD4ED6">
        <w:rPr>
          <w:lang w:val="en-GB"/>
        </w:rPr>
        <w:t xml:space="preserve">Parliamentary </w:t>
      </w:r>
      <w:r w:rsidR="00826581">
        <w:rPr>
          <w:lang w:val="en-GB"/>
        </w:rPr>
        <w:t xml:space="preserve">Minority </w:t>
      </w:r>
      <w:r w:rsidR="00F1178D">
        <w:rPr>
          <w:lang w:val="en-GB"/>
        </w:rPr>
        <w:t>and</w:t>
      </w:r>
      <w:r w:rsidR="00646031">
        <w:rPr>
          <w:lang w:val="en-GB"/>
        </w:rPr>
        <w:t xml:space="preserve"> now </w:t>
      </w:r>
      <w:r w:rsidR="00FD4ED6">
        <w:rPr>
          <w:lang w:val="en-GB"/>
        </w:rPr>
        <w:t xml:space="preserve">by the </w:t>
      </w:r>
      <w:r w:rsidR="00C80329">
        <w:rPr>
          <w:lang w:val="en-GB"/>
        </w:rPr>
        <w:t>IMF</w:t>
      </w:r>
      <w:r w:rsidR="00A84603">
        <w:rPr>
          <w:lang w:val="en-GB"/>
        </w:rPr>
        <w:t xml:space="preserve">, </w:t>
      </w:r>
      <w:r w:rsidR="00826581">
        <w:rPr>
          <w:lang w:val="en-GB"/>
        </w:rPr>
        <w:t xml:space="preserve">World Bank, and </w:t>
      </w:r>
      <w:r w:rsidR="00EA071D">
        <w:rPr>
          <w:lang w:val="en-GB"/>
        </w:rPr>
        <w:t>other</w:t>
      </w:r>
      <w:r w:rsidR="00826581">
        <w:rPr>
          <w:lang w:val="en-GB"/>
        </w:rPr>
        <w:t xml:space="preserve"> reputable </w:t>
      </w:r>
      <w:r>
        <w:rPr>
          <w:lang w:val="en-GB"/>
        </w:rPr>
        <w:t>institutions</w:t>
      </w:r>
      <w:r w:rsidR="00EA071D">
        <w:rPr>
          <w:lang w:val="en-GB"/>
        </w:rPr>
        <w:t xml:space="preserve"> </w:t>
      </w:r>
      <w:r w:rsidR="00FD4ED6">
        <w:rPr>
          <w:lang w:val="en-GB"/>
        </w:rPr>
        <w:t>is ongoing. Further, recent</w:t>
      </w:r>
      <w:r w:rsidR="00826581">
        <w:rPr>
          <w:lang w:val="en-GB"/>
        </w:rPr>
        <w:t xml:space="preserve"> </w:t>
      </w:r>
      <w:r w:rsidR="00826581" w:rsidRPr="00646031">
        <w:rPr>
          <w:i/>
          <w:iCs/>
          <w:u w:val="single"/>
          <w:lang w:val="en-GB"/>
        </w:rPr>
        <w:t xml:space="preserve">downgrades by all </w:t>
      </w:r>
      <w:r w:rsidR="00FD4ED6">
        <w:rPr>
          <w:i/>
          <w:iCs/>
          <w:u w:val="single"/>
          <w:lang w:val="en-GB"/>
        </w:rPr>
        <w:t xml:space="preserve">the major </w:t>
      </w:r>
      <w:r w:rsidR="00826581" w:rsidRPr="00646031">
        <w:rPr>
          <w:i/>
          <w:iCs/>
          <w:u w:val="single"/>
          <w:lang w:val="en-GB"/>
        </w:rPr>
        <w:t>rating</w:t>
      </w:r>
      <w:r w:rsidR="00EA071D" w:rsidRPr="00646031">
        <w:rPr>
          <w:i/>
          <w:iCs/>
          <w:u w:val="single"/>
          <w:lang w:val="en-GB"/>
        </w:rPr>
        <w:t>s</w:t>
      </w:r>
      <w:r w:rsidR="00826581" w:rsidRPr="00646031">
        <w:rPr>
          <w:i/>
          <w:iCs/>
          <w:u w:val="single"/>
          <w:lang w:val="en-GB"/>
        </w:rPr>
        <w:t xml:space="preserve"> agencies</w:t>
      </w:r>
      <w:r w:rsidR="00FD4ED6">
        <w:rPr>
          <w:lang w:val="en-GB"/>
        </w:rPr>
        <w:t xml:space="preserve"> </w:t>
      </w:r>
      <w:r w:rsidR="00826581" w:rsidRPr="00F1178D">
        <w:rPr>
          <w:i/>
          <w:iCs/>
          <w:u w:val="single"/>
          <w:lang w:val="en-GB"/>
        </w:rPr>
        <w:t>expose</w:t>
      </w:r>
      <w:r w:rsidR="00FD4ED6">
        <w:rPr>
          <w:i/>
          <w:iCs/>
          <w:u w:val="single"/>
          <w:lang w:val="en-GB"/>
        </w:rPr>
        <w:t xml:space="preserve"> </w:t>
      </w:r>
      <w:r w:rsidR="00646031">
        <w:rPr>
          <w:i/>
          <w:iCs/>
          <w:u w:val="single"/>
          <w:lang w:val="en-GB"/>
        </w:rPr>
        <w:t>frightening</w:t>
      </w:r>
      <w:r w:rsidR="00B77D92" w:rsidRPr="00F1178D">
        <w:rPr>
          <w:i/>
          <w:iCs/>
          <w:u w:val="single"/>
          <w:lang w:val="en-GB"/>
        </w:rPr>
        <w:t xml:space="preserve"> </w:t>
      </w:r>
      <w:r w:rsidR="00FD4ED6">
        <w:rPr>
          <w:i/>
          <w:iCs/>
          <w:u w:val="single"/>
          <w:lang w:val="en-GB"/>
        </w:rPr>
        <w:t xml:space="preserve">fiscal </w:t>
      </w:r>
      <w:r w:rsidR="00C80329" w:rsidRPr="00F1178D">
        <w:rPr>
          <w:i/>
          <w:iCs/>
          <w:u w:val="single"/>
          <w:lang w:val="en-GB"/>
        </w:rPr>
        <w:t>outcome</w:t>
      </w:r>
      <w:r w:rsidR="00EA071D">
        <w:rPr>
          <w:i/>
          <w:iCs/>
          <w:u w:val="single"/>
          <w:lang w:val="en-GB"/>
        </w:rPr>
        <w:t>s</w:t>
      </w:r>
      <w:r w:rsidR="00C80329" w:rsidRPr="00F1178D">
        <w:rPr>
          <w:i/>
          <w:iCs/>
          <w:u w:val="single"/>
          <w:lang w:val="en-GB"/>
        </w:rPr>
        <w:t xml:space="preserve"> </w:t>
      </w:r>
      <w:r w:rsidR="00FD4ED6">
        <w:rPr>
          <w:i/>
          <w:iCs/>
          <w:u w:val="single"/>
          <w:lang w:val="en-GB"/>
        </w:rPr>
        <w:t>since</w:t>
      </w:r>
      <w:r w:rsidR="00826581" w:rsidRPr="00F1178D">
        <w:rPr>
          <w:i/>
          <w:iCs/>
          <w:u w:val="single"/>
          <w:lang w:val="en-GB"/>
        </w:rPr>
        <w:t xml:space="preserve"> </w:t>
      </w:r>
      <w:r w:rsidR="00B77D92" w:rsidRPr="00F1178D">
        <w:rPr>
          <w:i/>
          <w:iCs/>
          <w:u w:val="single"/>
          <w:lang w:val="en-GB"/>
        </w:rPr>
        <w:t>201</w:t>
      </w:r>
      <w:r w:rsidR="00B77D92" w:rsidRPr="00A84603">
        <w:rPr>
          <w:i/>
          <w:iCs/>
          <w:u w:val="single"/>
          <w:lang w:val="en-GB"/>
        </w:rPr>
        <w:t>7</w:t>
      </w:r>
      <w:r w:rsidR="00FD4ED6">
        <w:rPr>
          <w:i/>
          <w:iCs/>
          <w:u w:val="single"/>
          <w:lang w:val="en-GB"/>
        </w:rPr>
        <w:t xml:space="preserve">—long </w:t>
      </w:r>
      <w:r w:rsidR="00B77D92" w:rsidRPr="00A84603">
        <w:rPr>
          <w:i/>
          <w:iCs/>
          <w:u w:val="single"/>
          <w:lang w:val="en-GB"/>
        </w:rPr>
        <w:t xml:space="preserve">before </w:t>
      </w:r>
      <w:r w:rsidR="00646031">
        <w:rPr>
          <w:i/>
          <w:iCs/>
          <w:u w:val="single"/>
          <w:lang w:val="en-GB"/>
        </w:rPr>
        <w:t>the</w:t>
      </w:r>
      <w:r w:rsidR="00826581" w:rsidRPr="00A84603">
        <w:rPr>
          <w:i/>
          <w:iCs/>
          <w:u w:val="single"/>
          <w:lang w:val="en-GB"/>
        </w:rPr>
        <w:t xml:space="preserve"> </w:t>
      </w:r>
      <w:r w:rsidR="00B77D92" w:rsidRPr="00A84603">
        <w:rPr>
          <w:i/>
          <w:iCs/>
          <w:u w:val="single"/>
          <w:lang w:val="en-GB"/>
        </w:rPr>
        <w:t>impact of COVID-19</w:t>
      </w:r>
      <w:r w:rsidR="00665EC9" w:rsidRPr="00A84603">
        <w:rPr>
          <w:i/>
          <w:iCs/>
          <w:u w:val="single"/>
          <w:lang w:val="en-GB"/>
        </w:rPr>
        <w:t xml:space="preserve"> in 2020</w:t>
      </w:r>
      <w:r w:rsidR="00C80329">
        <w:rPr>
          <w:lang w:val="en-GB"/>
        </w:rPr>
        <w:t>.</w:t>
      </w:r>
      <w:r w:rsidR="00425B70">
        <w:rPr>
          <w:lang w:val="en-GB"/>
        </w:rPr>
        <w:t xml:space="preserve"> </w:t>
      </w:r>
      <w:r w:rsidR="00EA071D">
        <w:rPr>
          <w:lang w:val="en-GB"/>
        </w:rPr>
        <w:t>Ghana</w:t>
      </w:r>
      <w:r w:rsidR="00A84603">
        <w:rPr>
          <w:lang w:val="en-GB"/>
        </w:rPr>
        <w:t xml:space="preserve"> </w:t>
      </w:r>
      <w:r w:rsidR="00FD4ED6">
        <w:rPr>
          <w:lang w:val="en-GB"/>
        </w:rPr>
        <w:t xml:space="preserve">just </w:t>
      </w:r>
      <w:r w:rsidR="00F1178D">
        <w:rPr>
          <w:lang w:val="en-GB"/>
        </w:rPr>
        <w:t>post</w:t>
      </w:r>
      <w:r w:rsidR="00EA071D">
        <w:rPr>
          <w:lang w:val="en-GB"/>
        </w:rPr>
        <w:t>ed</w:t>
      </w:r>
      <w:r w:rsidR="00F1178D">
        <w:rPr>
          <w:lang w:val="en-GB"/>
        </w:rPr>
        <w:t xml:space="preserve"> </w:t>
      </w:r>
      <w:r w:rsidR="00A84603">
        <w:rPr>
          <w:lang w:val="en-GB"/>
        </w:rPr>
        <w:t>its</w:t>
      </w:r>
      <w:r w:rsidR="00F1178D">
        <w:rPr>
          <w:lang w:val="en-GB"/>
        </w:rPr>
        <w:t xml:space="preserve"> </w:t>
      </w:r>
      <w:r w:rsidR="00F1178D" w:rsidRPr="00F1178D">
        <w:rPr>
          <w:i/>
          <w:iCs/>
          <w:u w:val="single"/>
          <w:lang w:val="en-GB"/>
        </w:rPr>
        <w:t xml:space="preserve">first negative growth in </w:t>
      </w:r>
      <w:r w:rsidR="00FD4ED6">
        <w:rPr>
          <w:i/>
          <w:iCs/>
          <w:u w:val="single"/>
          <w:lang w:val="en-GB"/>
        </w:rPr>
        <w:t xml:space="preserve">a quarter in </w:t>
      </w:r>
      <w:r w:rsidR="00425B70">
        <w:rPr>
          <w:i/>
          <w:iCs/>
          <w:u w:val="single"/>
          <w:lang w:val="en-GB"/>
        </w:rPr>
        <w:t xml:space="preserve">nearly 40 </w:t>
      </w:r>
      <w:r w:rsidR="00F1178D" w:rsidRPr="00F1178D">
        <w:rPr>
          <w:i/>
          <w:iCs/>
          <w:u w:val="single"/>
          <w:lang w:val="en-GB"/>
        </w:rPr>
        <w:t>years</w:t>
      </w:r>
      <w:r w:rsidR="00FD4ED6">
        <w:rPr>
          <w:lang w:val="en-GB"/>
        </w:rPr>
        <w:t xml:space="preserve"> and, </w:t>
      </w:r>
      <w:r w:rsidR="00425B70">
        <w:rPr>
          <w:lang w:val="en-GB"/>
        </w:rPr>
        <w:t xml:space="preserve">with the current pandemic and </w:t>
      </w:r>
      <w:r w:rsidR="00FD4ED6">
        <w:rPr>
          <w:lang w:val="en-GB"/>
        </w:rPr>
        <w:t>past crisis</w:t>
      </w:r>
      <w:r w:rsidR="00425B70">
        <w:rPr>
          <w:lang w:val="en-GB"/>
        </w:rPr>
        <w:t xml:space="preserve"> as background</w:t>
      </w:r>
      <w:r w:rsidR="00FD4ED6">
        <w:rPr>
          <w:lang w:val="en-GB"/>
        </w:rPr>
        <w:t>, there is</w:t>
      </w:r>
      <w:r w:rsidR="00CE6FB1">
        <w:rPr>
          <w:lang w:val="en-GB"/>
        </w:rPr>
        <w:t xml:space="preserve"> </w:t>
      </w:r>
      <w:r w:rsidR="00425B70">
        <w:rPr>
          <w:i/>
          <w:iCs/>
          <w:u w:val="single"/>
          <w:lang w:val="en-GB"/>
        </w:rPr>
        <w:t>increas</w:t>
      </w:r>
      <w:r w:rsidR="00F1178D" w:rsidRPr="00F1178D">
        <w:rPr>
          <w:i/>
          <w:iCs/>
          <w:u w:val="single"/>
          <w:lang w:val="en-GB"/>
        </w:rPr>
        <w:t>ing</w:t>
      </w:r>
      <w:r w:rsidR="00CE6FB1" w:rsidRPr="00F1178D">
        <w:rPr>
          <w:i/>
          <w:iCs/>
          <w:u w:val="single"/>
          <w:lang w:val="en-GB"/>
        </w:rPr>
        <w:t xml:space="preserve"> </w:t>
      </w:r>
      <w:r w:rsidR="00C80329" w:rsidRPr="00F1178D">
        <w:rPr>
          <w:i/>
          <w:iCs/>
          <w:u w:val="single"/>
          <w:lang w:val="en-GB"/>
        </w:rPr>
        <w:t>awareness</w:t>
      </w:r>
      <w:r w:rsidR="00CE6FB1" w:rsidRPr="00F1178D">
        <w:rPr>
          <w:i/>
          <w:iCs/>
          <w:u w:val="single"/>
          <w:lang w:val="en-GB"/>
        </w:rPr>
        <w:t xml:space="preserve"> </w:t>
      </w:r>
      <w:r w:rsidR="00FD4ED6">
        <w:rPr>
          <w:i/>
          <w:iCs/>
          <w:u w:val="single"/>
          <w:lang w:val="en-GB"/>
        </w:rPr>
        <w:t xml:space="preserve">of what it took for </w:t>
      </w:r>
      <w:r w:rsidR="003918F3">
        <w:rPr>
          <w:i/>
          <w:iCs/>
          <w:u w:val="single"/>
          <w:lang w:val="en-GB"/>
        </w:rPr>
        <w:t xml:space="preserve">HE </w:t>
      </w:r>
      <w:r w:rsidR="00C80329" w:rsidRPr="00F1178D">
        <w:rPr>
          <w:i/>
          <w:iCs/>
          <w:u w:val="single"/>
          <w:lang w:val="en-GB"/>
        </w:rPr>
        <w:t>Mahama</w:t>
      </w:r>
      <w:r w:rsidR="00FD4ED6">
        <w:rPr>
          <w:i/>
          <w:iCs/>
          <w:u w:val="single"/>
          <w:lang w:val="en-GB"/>
        </w:rPr>
        <w:t xml:space="preserve"> to</w:t>
      </w:r>
      <w:r w:rsidR="00304F6E" w:rsidRPr="00F1178D">
        <w:rPr>
          <w:i/>
          <w:iCs/>
          <w:u w:val="single"/>
          <w:lang w:val="en-GB"/>
        </w:rPr>
        <w:t xml:space="preserve"> </w:t>
      </w:r>
      <w:r w:rsidR="00C80329" w:rsidRPr="00F1178D">
        <w:rPr>
          <w:i/>
          <w:iCs/>
          <w:u w:val="single"/>
          <w:lang w:val="en-GB"/>
        </w:rPr>
        <w:t>ke</w:t>
      </w:r>
      <w:r w:rsidR="00FD4ED6">
        <w:rPr>
          <w:i/>
          <w:iCs/>
          <w:u w:val="single"/>
          <w:lang w:val="en-GB"/>
        </w:rPr>
        <w:t>e</w:t>
      </w:r>
      <w:r w:rsidR="00C80329" w:rsidRPr="00F1178D">
        <w:rPr>
          <w:i/>
          <w:iCs/>
          <w:u w:val="single"/>
          <w:lang w:val="en-GB"/>
        </w:rPr>
        <w:t xml:space="preserve">p </w:t>
      </w:r>
      <w:r w:rsidR="00425B70">
        <w:rPr>
          <w:i/>
          <w:iCs/>
          <w:u w:val="single"/>
          <w:lang w:val="en-GB"/>
        </w:rPr>
        <w:t>the nation</w:t>
      </w:r>
      <w:r w:rsidR="00646031">
        <w:rPr>
          <w:i/>
          <w:iCs/>
          <w:u w:val="single"/>
          <w:lang w:val="en-GB"/>
        </w:rPr>
        <w:t xml:space="preserve"> </w:t>
      </w:r>
      <w:r w:rsidR="00826581" w:rsidRPr="00F1178D">
        <w:rPr>
          <w:i/>
          <w:iCs/>
          <w:u w:val="single"/>
          <w:lang w:val="en-GB"/>
        </w:rPr>
        <w:t>from</w:t>
      </w:r>
      <w:r w:rsidR="00665EC9" w:rsidRPr="00F1178D">
        <w:rPr>
          <w:i/>
          <w:iCs/>
          <w:u w:val="single"/>
          <w:lang w:val="en-GB"/>
        </w:rPr>
        <w:t xml:space="preserve"> </w:t>
      </w:r>
      <w:r w:rsidR="00EA071D">
        <w:rPr>
          <w:i/>
          <w:iCs/>
          <w:u w:val="single"/>
          <w:lang w:val="en-GB"/>
        </w:rPr>
        <w:t xml:space="preserve">the </w:t>
      </w:r>
      <w:r w:rsidR="00B77D92" w:rsidRPr="00F1178D">
        <w:rPr>
          <w:i/>
          <w:iCs/>
          <w:u w:val="single"/>
          <w:lang w:val="en-GB"/>
        </w:rPr>
        <w:t>recession</w:t>
      </w:r>
      <w:r w:rsidR="00646031">
        <w:rPr>
          <w:i/>
          <w:iCs/>
          <w:u w:val="single"/>
          <w:lang w:val="en-GB"/>
        </w:rPr>
        <w:t>s</w:t>
      </w:r>
      <w:r w:rsidR="00B77D92">
        <w:rPr>
          <w:lang w:val="en-GB"/>
        </w:rPr>
        <w:t xml:space="preserve"> </w:t>
      </w:r>
      <w:r w:rsidR="00EA071D">
        <w:rPr>
          <w:lang w:val="en-GB"/>
        </w:rPr>
        <w:t>that</w:t>
      </w:r>
      <w:r w:rsidR="00826581">
        <w:rPr>
          <w:lang w:val="en-GB"/>
        </w:rPr>
        <w:t xml:space="preserve"> </w:t>
      </w:r>
      <w:r w:rsidR="00646031">
        <w:rPr>
          <w:lang w:val="en-GB"/>
        </w:rPr>
        <w:t>hit</w:t>
      </w:r>
      <w:r w:rsidR="00826581">
        <w:rPr>
          <w:lang w:val="en-GB"/>
        </w:rPr>
        <w:t xml:space="preserve"> </w:t>
      </w:r>
      <w:r w:rsidR="00665EC9">
        <w:rPr>
          <w:lang w:val="en-GB"/>
        </w:rPr>
        <w:t xml:space="preserve">African </w:t>
      </w:r>
      <w:r w:rsidR="00C80329">
        <w:rPr>
          <w:lang w:val="en-GB"/>
        </w:rPr>
        <w:t xml:space="preserve">and non-African </w:t>
      </w:r>
      <w:r w:rsidR="00826581">
        <w:rPr>
          <w:lang w:val="en-GB"/>
        </w:rPr>
        <w:t>countries</w:t>
      </w:r>
      <w:r w:rsidR="00646031">
        <w:rPr>
          <w:lang w:val="en-GB"/>
        </w:rPr>
        <w:t xml:space="preserve"> from 2014 to 2016</w:t>
      </w:r>
      <w:r w:rsidR="00CE6FB1">
        <w:rPr>
          <w:lang w:val="en-GB"/>
        </w:rPr>
        <w:t>.</w:t>
      </w:r>
    </w:p>
    <w:p w14:paraId="299E46DA" w14:textId="77777777" w:rsidR="00CE6FB1" w:rsidRDefault="00CE6FB1">
      <w:pPr>
        <w:rPr>
          <w:lang w:val="en-GB"/>
        </w:rPr>
      </w:pPr>
    </w:p>
    <w:p w14:paraId="7BB23E8C" w14:textId="5AD11309" w:rsidR="00E834C3" w:rsidRDefault="004B1E70" w:rsidP="00CE6FB1">
      <w:pPr>
        <w:ind w:firstLine="720"/>
        <w:rPr>
          <w:lang w:val="en-GB"/>
        </w:rPr>
      </w:pPr>
      <w:r>
        <w:rPr>
          <w:lang w:val="en-GB"/>
        </w:rPr>
        <w:t>T</w:t>
      </w:r>
      <w:r w:rsidR="00745D5A">
        <w:rPr>
          <w:lang w:val="en-GB"/>
        </w:rPr>
        <w:t>h</w:t>
      </w:r>
      <w:r w:rsidR="00425B70">
        <w:rPr>
          <w:lang w:val="en-GB"/>
        </w:rPr>
        <w:t>is</w:t>
      </w:r>
      <w:r w:rsidR="00C461F5">
        <w:rPr>
          <w:lang w:val="en-GB"/>
        </w:rPr>
        <w:t xml:space="preserve"> </w:t>
      </w:r>
      <w:r w:rsidR="00745D5A">
        <w:rPr>
          <w:lang w:val="en-GB"/>
        </w:rPr>
        <w:t xml:space="preserve">article </w:t>
      </w:r>
      <w:r w:rsidR="00665EC9">
        <w:rPr>
          <w:lang w:val="en-GB"/>
        </w:rPr>
        <w:t>deflate</w:t>
      </w:r>
      <w:r w:rsidR="00425B70">
        <w:rPr>
          <w:lang w:val="en-GB"/>
        </w:rPr>
        <w:t>s</w:t>
      </w:r>
      <w:r w:rsidR="00E834C3">
        <w:rPr>
          <w:lang w:val="en-GB"/>
        </w:rPr>
        <w:t xml:space="preserve"> th</w:t>
      </w:r>
      <w:r w:rsidR="002A2D90">
        <w:rPr>
          <w:lang w:val="en-GB"/>
        </w:rPr>
        <w:t>e</w:t>
      </w:r>
      <w:r w:rsidR="00745D5A">
        <w:rPr>
          <w:lang w:val="en-GB"/>
        </w:rPr>
        <w:t xml:space="preserve"> false</w:t>
      </w:r>
      <w:r w:rsidR="00E834C3">
        <w:rPr>
          <w:lang w:val="en-GB"/>
        </w:rPr>
        <w:t xml:space="preserve"> claim</w:t>
      </w:r>
      <w:r w:rsidR="002A2D90">
        <w:rPr>
          <w:lang w:val="en-GB"/>
        </w:rPr>
        <w:t>s</w:t>
      </w:r>
      <w:r w:rsidR="00C461F5">
        <w:rPr>
          <w:lang w:val="en-GB"/>
        </w:rPr>
        <w:t xml:space="preserve"> </w:t>
      </w:r>
      <w:r w:rsidR="00425B70">
        <w:rPr>
          <w:lang w:val="en-GB"/>
        </w:rPr>
        <w:t xml:space="preserve">of poor legacy at January 2017 </w:t>
      </w:r>
      <w:r w:rsidR="00E834C3">
        <w:rPr>
          <w:lang w:val="en-GB"/>
        </w:rPr>
        <w:t>with facts and figures</w:t>
      </w:r>
      <w:r w:rsidR="00701060">
        <w:rPr>
          <w:lang w:val="en-GB"/>
        </w:rPr>
        <w:t xml:space="preserve"> </w:t>
      </w:r>
      <w:r w:rsidR="00826581">
        <w:rPr>
          <w:lang w:val="en-GB"/>
        </w:rPr>
        <w:t>while</w:t>
      </w:r>
      <w:r w:rsidR="00701060">
        <w:rPr>
          <w:lang w:val="en-GB"/>
        </w:rPr>
        <w:t xml:space="preserve"> </w:t>
      </w:r>
      <w:r w:rsidR="00646031">
        <w:rPr>
          <w:lang w:val="en-GB"/>
        </w:rPr>
        <w:t xml:space="preserve">restating </w:t>
      </w:r>
      <w:r w:rsidR="00826581">
        <w:rPr>
          <w:lang w:val="en-GB"/>
        </w:rPr>
        <w:t xml:space="preserve">that </w:t>
      </w:r>
      <w:r w:rsidR="00EA071D">
        <w:rPr>
          <w:lang w:val="en-GB"/>
        </w:rPr>
        <w:t xml:space="preserve">the </w:t>
      </w:r>
      <w:r w:rsidR="00646031">
        <w:rPr>
          <w:lang w:val="en-GB"/>
        </w:rPr>
        <w:t>immediate-</w:t>
      </w:r>
      <w:r w:rsidR="00EA071D">
        <w:rPr>
          <w:lang w:val="en-GB"/>
        </w:rPr>
        <w:t xml:space="preserve">past government </w:t>
      </w:r>
      <w:r w:rsidR="00A61CCA">
        <w:rPr>
          <w:lang w:val="en-GB"/>
        </w:rPr>
        <w:t xml:space="preserve">put </w:t>
      </w:r>
      <w:r w:rsidR="00EA071D">
        <w:rPr>
          <w:lang w:val="en-GB"/>
        </w:rPr>
        <w:t xml:space="preserve">the present one </w:t>
      </w:r>
      <w:r w:rsidR="002B389A">
        <w:rPr>
          <w:lang w:val="en-GB"/>
        </w:rPr>
        <w:t xml:space="preserve">in a </w:t>
      </w:r>
      <w:r w:rsidR="00A61CCA">
        <w:rPr>
          <w:i/>
          <w:iCs/>
          <w:u w:val="single"/>
          <w:lang w:val="en-GB"/>
        </w:rPr>
        <w:t>position</w:t>
      </w:r>
      <w:r w:rsidR="00A61CCA" w:rsidRPr="007D5B66">
        <w:rPr>
          <w:i/>
          <w:iCs/>
          <w:u w:val="single"/>
          <w:lang w:val="en-GB"/>
        </w:rPr>
        <w:t xml:space="preserve"> </w:t>
      </w:r>
      <w:r w:rsidR="0034246D">
        <w:rPr>
          <w:i/>
          <w:iCs/>
          <w:u w:val="single"/>
          <w:lang w:val="en-GB"/>
        </w:rPr>
        <w:t xml:space="preserve">to </w:t>
      </w:r>
      <w:r w:rsidR="00A61CCA" w:rsidRPr="007D5B66">
        <w:rPr>
          <w:i/>
          <w:iCs/>
          <w:u w:val="single"/>
          <w:lang w:val="en-GB"/>
        </w:rPr>
        <w:t xml:space="preserve">manage the </w:t>
      </w:r>
      <w:r w:rsidR="0034246D">
        <w:rPr>
          <w:i/>
          <w:iCs/>
          <w:u w:val="single"/>
          <w:lang w:val="en-GB"/>
        </w:rPr>
        <w:t>economy</w:t>
      </w:r>
      <w:r w:rsidR="00A61CCA" w:rsidRPr="007D5B66">
        <w:rPr>
          <w:i/>
          <w:iCs/>
          <w:u w:val="single"/>
          <w:lang w:val="en-GB"/>
        </w:rPr>
        <w:t xml:space="preserve"> </w:t>
      </w:r>
      <w:r w:rsidR="00A61CCA">
        <w:rPr>
          <w:i/>
          <w:iCs/>
          <w:u w:val="single"/>
          <w:lang w:val="en-GB"/>
        </w:rPr>
        <w:t xml:space="preserve">better </w:t>
      </w:r>
      <w:r w:rsidR="00A61CCA" w:rsidRPr="007D5B66">
        <w:rPr>
          <w:i/>
          <w:iCs/>
          <w:u w:val="single"/>
          <w:lang w:val="en-GB"/>
        </w:rPr>
        <w:t xml:space="preserve">than </w:t>
      </w:r>
      <w:r w:rsidR="00EA071D">
        <w:rPr>
          <w:i/>
          <w:iCs/>
          <w:u w:val="single"/>
          <w:lang w:val="en-GB"/>
        </w:rPr>
        <w:t>the</w:t>
      </w:r>
      <w:r w:rsidR="00A84603">
        <w:rPr>
          <w:i/>
          <w:iCs/>
          <w:u w:val="single"/>
          <w:lang w:val="en-GB"/>
        </w:rPr>
        <w:t xml:space="preserve"> </w:t>
      </w:r>
      <w:r w:rsidR="00A61CCA" w:rsidRPr="007D5B66">
        <w:rPr>
          <w:i/>
          <w:iCs/>
          <w:u w:val="single"/>
          <w:lang w:val="en-GB"/>
        </w:rPr>
        <w:t>negative</w:t>
      </w:r>
      <w:r w:rsidR="00A61CCA">
        <w:rPr>
          <w:i/>
          <w:iCs/>
          <w:u w:val="single"/>
          <w:lang w:val="en-GB"/>
        </w:rPr>
        <w:t xml:space="preserve"> and worrisome indicators and</w:t>
      </w:r>
      <w:r w:rsidR="00A61CCA" w:rsidRPr="007D5B66">
        <w:rPr>
          <w:i/>
          <w:iCs/>
          <w:u w:val="single"/>
          <w:lang w:val="en-GB"/>
        </w:rPr>
        <w:t xml:space="preserve"> </w:t>
      </w:r>
      <w:r w:rsidR="00A61CCA">
        <w:rPr>
          <w:i/>
          <w:iCs/>
          <w:u w:val="single"/>
          <w:lang w:val="en-GB"/>
        </w:rPr>
        <w:t>trend</w:t>
      </w:r>
      <w:r w:rsidR="002B389A">
        <w:rPr>
          <w:i/>
          <w:iCs/>
          <w:u w:val="single"/>
          <w:lang w:val="en-GB"/>
        </w:rPr>
        <w:t>s</w:t>
      </w:r>
      <w:r w:rsidR="00646031">
        <w:rPr>
          <w:i/>
          <w:iCs/>
          <w:u w:val="single"/>
          <w:lang w:val="en-GB"/>
        </w:rPr>
        <w:t xml:space="preserve"> that </w:t>
      </w:r>
      <w:r w:rsidR="00425B70">
        <w:rPr>
          <w:i/>
          <w:iCs/>
          <w:u w:val="single"/>
          <w:lang w:val="en-GB"/>
        </w:rPr>
        <w:t xml:space="preserve">are worse than a challenging </w:t>
      </w:r>
      <w:r w:rsidR="00701060" w:rsidRPr="00A61CCA">
        <w:rPr>
          <w:i/>
          <w:iCs/>
          <w:u w:val="single"/>
          <w:lang w:val="en-GB"/>
        </w:rPr>
        <w:t>end-2016</w:t>
      </w:r>
      <w:r w:rsidR="00701060" w:rsidRPr="00A84603">
        <w:rPr>
          <w:u w:val="single"/>
          <w:lang w:val="en-GB"/>
        </w:rPr>
        <w:t>—</w:t>
      </w:r>
      <w:r w:rsidR="00646031">
        <w:rPr>
          <w:b/>
          <w:bCs/>
          <w:i/>
          <w:iCs/>
          <w:lang w:val="en-GB"/>
        </w:rPr>
        <w:t xml:space="preserve">and </w:t>
      </w:r>
      <w:r w:rsidR="00425B70">
        <w:rPr>
          <w:b/>
          <w:bCs/>
          <w:i/>
          <w:iCs/>
          <w:lang w:val="en-GB"/>
        </w:rPr>
        <w:t xml:space="preserve">all the current deterioration is </w:t>
      </w:r>
      <w:r w:rsidR="00646031">
        <w:rPr>
          <w:b/>
          <w:bCs/>
          <w:i/>
          <w:iCs/>
          <w:lang w:val="en-GB"/>
        </w:rPr>
        <w:t>n</w:t>
      </w:r>
      <w:r w:rsidR="00701060" w:rsidRPr="00A84603">
        <w:rPr>
          <w:b/>
          <w:bCs/>
          <w:i/>
          <w:iCs/>
          <w:lang w:val="en-GB"/>
        </w:rPr>
        <w:t>ot on account of COVID-19</w:t>
      </w:r>
      <w:r w:rsidR="00701060">
        <w:rPr>
          <w:lang w:val="en-GB"/>
        </w:rPr>
        <w:t xml:space="preserve">. </w:t>
      </w:r>
      <w:r w:rsidR="00425B70">
        <w:rPr>
          <w:lang w:val="en-GB"/>
        </w:rPr>
        <w:t xml:space="preserve">Parts 1 and 2 begin with the </w:t>
      </w:r>
      <w:r w:rsidR="005D2520">
        <w:rPr>
          <w:i/>
          <w:iCs/>
          <w:u w:val="single"/>
          <w:lang w:val="en-GB"/>
        </w:rPr>
        <w:t>endownment</w:t>
      </w:r>
      <w:r w:rsidR="00425B70" w:rsidRPr="005D2520">
        <w:rPr>
          <w:i/>
          <w:iCs/>
          <w:u w:val="single"/>
          <w:lang w:val="en-GB"/>
        </w:rPr>
        <w:t xml:space="preserve"> of oil production and revenues</w:t>
      </w:r>
      <w:r w:rsidR="00425B70">
        <w:rPr>
          <w:lang w:val="en-GB"/>
        </w:rPr>
        <w:t xml:space="preserve"> while Part 3 makes the </w:t>
      </w:r>
      <w:r w:rsidR="005D2520">
        <w:rPr>
          <w:lang w:val="en-GB"/>
        </w:rPr>
        <w:t>case</w:t>
      </w:r>
      <w:r w:rsidR="00425B70">
        <w:rPr>
          <w:lang w:val="en-GB"/>
        </w:rPr>
        <w:t xml:space="preserve"> that </w:t>
      </w:r>
      <w:r w:rsidR="00425B70" w:rsidRPr="005D2520">
        <w:rPr>
          <w:i/>
          <w:iCs/>
          <w:u w:val="single"/>
          <w:lang w:val="en-GB"/>
        </w:rPr>
        <w:t>HEs Mills and Mahama did not more with one (1) oil field tha</w:t>
      </w:r>
      <w:r w:rsidR="005D2520">
        <w:rPr>
          <w:i/>
          <w:iCs/>
          <w:u w:val="single"/>
          <w:lang w:val="en-GB"/>
        </w:rPr>
        <w:t>n</w:t>
      </w:r>
      <w:r w:rsidR="00425B70" w:rsidRPr="005D2520">
        <w:rPr>
          <w:i/>
          <w:iCs/>
          <w:u w:val="single"/>
          <w:lang w:val="en-GB"/>
        </w:rPr>
        <w:t xml:space="preserve"> </w:t>
      </w:r>
      <w:r w:rsidR="005D2520" w:rsidRPr="005D2520">
        <w:rPr>
          <w:i/>
          <w:iCs/>
          <w:u w:val="single"/>
          <w:lang w:val="en-GB"/>
        </w:rPr>
        <w:t xml:space="preserve">HE </w:t>
      </w:r>
      <w:r w:rsidR="00425B70" w:rsidRPr="005D2520">
        <w:rPr>
          <w:i/>
          <w:iCs/>
          <w:u w:val="single"/>
          <w:lang w:val="en-GB"/>
        </w:rPr>
        <w:t>Nana Addo is doing with three (3</w:t>
      </w:r>
      <w:r w:rsidR="005D2520">
        <w:rPr>
          <w:i/>
          <w:iCs/>
          <w:u w:val="single"/>
          <w:lang w:val="en-GB"/>
        </w:rPr>
        <w:t>)</w:t>
      </w:r>
      <w:r w:rsidR="00425B70" w:rsidRPr="005D2520">
        <w:rPr>
          <w:i/>
          <w:iCs/>
          <w:u w:val="single"/>
          <w:lang w:val="en-GB"/>
        </w:rPr>
        <w:t xml:space="preserve"> fields</w:t>
      </w:r>
      <w:r w:rsidR="00425B70">
        <w:rPr>
          <w:lang w:val="en-GB"/>
        </w:rPr>
        <w:t>. The remaining parts repeats the revisions of data in detail, as portrayal of a frightening FY2021 ahead of the nation.</w:t>
      </w:r>
    </w:p>
    <w:p w14:paraId="07C1EA53" w14:textId="77777777" w:rsidR="00E834C3" w:rsidRPr="003A44DC" w:rsidRDefault="00E834C3">
      <w:pPr>
        <w:rPr>
          <w:b/>
          <w:bCs/>
          <w:lang w:val="en-GB"/>
        </w:rPr>
      </w:pPr>
    </w:p>
    <w:p w14:paraId="5A5D26D9" w14:textId="2C9192C3" w:rsidR="00461D12" w:rsidRDefault="00646031" w:rsidP="0077187B">
      <w:pPr>
        <w:pStyle w:val="ListParagraph"/>
        <w:numPr>
          <w:ilvl w:val="0"/>
          <w:numId w:val="7"/>
        </w:numPr>
        <w:tabs>
          <w:tab w:val="left" w:pos="990"/>
        </w:tabs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 xml:space="preserve">Benefits </w:t>
      </w:r>
      <w:r w:rsidR="00461D12">
        <w:rPr>
          <w:b/>
          <w:bCs/>
          <w:lang w:val="en-GB"/>
        </w:rPr>
        <w:t>of Petroleum Revenues</w:t>
      </w:r>
    </w:p>
    <w:p w14:paraId="784DCE82" w14:textId="59CBE977" w:rsidR="00461D12" w:rsidRDefault="00461D12" w:rsidP="00461D12">
      <w:pPr>
        <w:tabs>
          <w:tab w:val="left" w:pos="990"/>
        </w:tabs>
        <w:rPr>
          <w:b/>
          <w:bCs/>
          <w:lang w:val="en-GB"/>
        </w:rPr>
      </w:pPr>
    </w:p>
    <w:p w14:paraId="1E9F3F21" w14:textId="549C48AE" w:rsidR="00701060" w:rsidRDefault="00701060" w:rsidP="00701060">
      <w:pPr>
        <w:ind w:firstLine="720"/>
        <w:rPr>
          <w:lang w:val="en-GB"/>
        </w:rPr>
      </w:pPr>
      <w:r>
        <w:rPr>
          <w:lang w:val="en-GB"/>
        </w:rPr>
        <w:t xml:space="preserve">The </w:t>
      </w:r>
      <w:r w:rsidR="00323D2D">
        <w:rPr>
          <w:i/>
          <w:iCs/>
          <w:u w:val="single"/>
          <w:lang w:val="en-GB"/>
        </w:rPr>
        <w:t>obvious</w:t>
      </w:r>
      <w:r w:rsidRPr="00C05DE6">
        <w:rPr>
          <w:i/>
          <w:iCs/>
          <w:u w:val="single"/>
          <w:lang w:val="en-GB"/>
        </w:rPr>
        <w:t xml:space="preserve"> </w:t>
      </w:r>
      <w:r w:rsidR="00B806C1" w:rsidRPr="00C05DE6">
        <w:rPr>
          <w:i/>
          <w:iCs/>
          <w:u w:val="single"/>
          <w:lang w:val="en-GB"/>
        </w:rPr>
        <w:t xml:space="preserve">Mahama </w:t>
      </w:r>
      <w:r w:rsidRPr="00C05DE6">
        <w:rPr>
          <w:i/>
          <w:iCs/>
          <w:u w:val="single"/>
          <w:lang w:val="en-GB"/>
        </w:rPr>
        <w:t xml:space="preserve">legacy is </w:t>
      </w:r>
      <w:r w:rsidR="005D2520">
        <w:rPr>
          <w:i/>
          <w:iCs/>
          <w:u w:val="single"/>
          <w:lang w:val="en-GB"/>
        </w:rPr>
        <w:t xml:space="preserve">the </w:t>
      </w:r>
      <w:r w:rsidR="00B806C1" w:rsidRPr="00C05DE6">
        <w:rPr>
          <w:i/>
          <w:iCs/>
          <w:u w:val="single"/>
          <w:lang w:val="en-GB"/>
        </w:rPr>
        <w:t xml:space="preserve">two </w:t>
      </w:r>
      <w:r w:rsidR="002C4728" w:rsidRPr="00C05DE6">
        <w:rPr>
          <w:i/>
          <w:iCs/>
          <w:u w:val="single"/>
          <w:lang w:val="en-GB"/>
        </w:rPr>
        <w:t>(</w:t>
      </w:r>
      <w:r w:rsidR="00B806C1" w:rsidRPr="00C05DE6">
        <w:rPr>
          <w:i/>
          <w:iCs/>
          <w:u w:val="single"/>
          <w:lang w:val="en-GB"/>
        </w:rPr>
        <w:t>TEN</w:t>
      </w:r>
      <w:r w:rsidR="002C4728" w:rsidRPr="00C05DE6">
        <w:rPr>
          <w:i/>
          <w:iCs/>
          <w:u w:val="single"/>
          <w:lang w:val="en-GB"/>
        </w:rPr>
        <w:t xml:space="preserve"> and </w:t>
      </w:r>
      <w:r w:rsidR="00B806C1" w:rsidRPr="00C05DE6">
        <w:rPr>
          <w:i/>
          <w:iCs/>
          <w:u w:val="single"/>
          <w:lang w:val="en-GB"/>
        </w:rPr>
        <w:t>Sankofa</w:t>
      </w:r>
      <w:r w:rsidR="002C4728" w:rsidRPr="00C05DE6">
        <w:rPr>
          <w:i/>
          <w:iCs/>
          <w:u w:val="single"/>
          <w:lang w:val="en-GB"/>
        </w:rPr>
        <w:t>)</w:t>
      </w:r>
      <w:r w:rsidRPr="00C05DE6">
        <w:rPr>
          <w:i/>
          <w:iCs/>
          <w:u w:val="single"/>
          <w:lang w:val="en-GB"/>
        </w:rPr>
        <w:t xml:space="preserve"> </w:t>
      </w:r>
      <w:r w:rsidR="00C05DE6" w:rsidRPr="00C05DE6">
        <w:rPr>
          <w:i/>
          <w:iCs/>
          <w:u w:val="single"/>
          <w:lang w:val="en-GB"/>
        </w:rPr>
        <w:t>additional</w:t>
      </w:r>
      <w:r w:rsidR="00EA071D" w:rsidRPr="00C05DE6">
        <w:rPr>
          <w:i/>
          <w:iCs/>
          <w:u w:val="single"/>
          <w:lang w:val="en-GB"/>
        </w:rPr>
        <w:t xml:space="preserve"> </w:t>
      </w:r>
      <w:r w:rsidR="00323D2D">
        <w:rPr>
          <w:i/>
          <w:iCs/>
          <w:u w:val="single"/>
          <w:lang w:val="en-GB"/>
        </w:rPr>
        <w:t>petroleum</w:t>
      </w:r>
      <w:r w:rsidRPr="00C05DE6">
        <w:rPr>
          <w:i/>
          <w:iCs/>
          <w:u w:val="single"/>
          <w:lang w:val="en-GB"/>
        </w:rPr>
        <w:t xml:space="preserve"> fields</w:t>
      </w:r>
      <w:r>
        <w:rPr>
          <w:lang w:val="en-GB"/>
        </w:rPr>
        <w:t xml:space="preserve"> that started </w:t>
      </w:r>
      <w:r w:rsidR="00323D2D">
        <w:rPr>
          <w:lang w:val="en-GB"/>
        </w:rPr>
        <w:t xml:space="preserve">to </w:t>
      </w:r>
      <w:r w:rsidR="00646031">
        <w:rPr>
          <w:lang w:val="en-GB"/>
        </w:rPr>
        <w:t>generat</w:t>
      </w:r>
      <w:r w:rsidR="00323D2D">
        <w:rPr>
          <w:lang w:val="en-GB"/>
        </w:rPr>
        <w:t>e</w:t>
      </w:r>
      <w:r w:rsidR="00646031">
        <w:rPr>
          <w:lang w:val="en-GB"/>
        </w:rPr>
        <w:t xml:space="preserve"> </w:t>
      </w:r>
      <w:r>
        <w:rPr>
          <w:lang w:val="en-GB"/>
        </w:rPr>
        <w:t xml:space="preserve">revenues at the </w:t>
      </w:r>
      <w:r w:rsidR="00C05DE6">
        <w:rPr>
          <w:lang w:val="en-GB"/>
        </w:rPr>
        <w:t>start</w:t>
      </w:r>
      <w:r>
        <w:rPr>
          <w:lang w:val="en-GB"/>
        </w:rPr>
        <w:t xml:space="preserve"> of </w:t>
      </w:r>
      <w:r w:rsidR="003918F3">
        <w:rPr>
          <w:lang w:val="en-GB"/>
        </w:rPr>
        <w:t xml:space="preserve">HE </w:t>
      </w:r>
      <w:r w:rsidR="00C05DE6">
        <w:rPr>
          <w:lang w:val="en-GB"/>
        </w:rPr>
        <w:t xml:space="preserve">Nana Addo’s </w:t>
      </w:r>
      <w:r>
        <w:rPr>
          <w:lang w:val="en-GB"/>
        </w:rPr>
        <w:t>administration</w:t>
      </w:r>
      <w:r w:rsidR="00C05DE6">
        <w:rPr>
          <w:lang w:val="en-GB"/>
        </w:rPr>
        <w:t xml:space="preserve"> in 2017</w:t>
      </w:r>
      <w:r>
        <w:rPr>
          <w:lang w:val="en-GB"/>
        </w:rPr>
        <w:t xml:space="preserve">. </w:t>
      </w:r>
      <w:r w:rsidR="00323D2D">
        <w:rPr>
          <w:i/>
          <w:iCs/>
          <w:u w:val="single"/>
          <w:lang w:val="en-GB"/>
        </w:rPr>
        <w:t>I</w:t>
      </w:r>
      <w:r w:rsidR="00EA071D">
        <w:rPr>
          <w:i/>
          <w:iCs/>
          <w:u w:val="single"/>
          <w:lang w:val="en-GB"/>
        </w:rPr>
        <w:t>t h</w:t>
      </w:r>
      <w:r w:rsidR="002C4728">
        <w:rPr>
          <w:i/>
          <w:iCs/>
          <w:u w:val="single"/>
          <w:lang w:val="en-GB"/>
        </w:rPr>
        <w:t xml:space="preserve">as </w:t>
      </w:r>
      <w:r w:rsidR="00323D2D">
        <w:rPr>
          <w:i/>
          <w:iCs/>
          <w:u w:val="single"/>
          <w:lang w:val="en-GB"/>
        </w:rPr>
        <w:t xml:space="preserve">become the beneficiary of </w:t>
      </w:r>
      <w:r w:rsidR="002C4728">
        <w:rPr>
          <w:i/>
          <w:iCs/>
          <w:u w:val="single"/>
          <w:lang w:val="en-GB"/>
        </w:rPr>
        <w:t>over</w:t>
      </w:r>
      <w:r w:rsidR="002B389A">
        <w:rPr>
          <w:i/>
          <w:iCs/>
          <w:u w:val="single"/>
          <w:lang w:val="en-GB"/>
        </w:rPr>
        <w:t xml:space="preserve"> half of </w:t>
      </w:r>
      <w:r w:rsidR="002C4728">
        <w:rPr>
          <w:i/>
          <w:iCs/>
          <w:u w:val="single"/>
          <w:lang w:val="en-GB"/>
        </w:rPr>
        <w:t xml:space="preserve">the </w:t>
      </w:r>
      <w:r w:rsidR="002B389A">
        <w:rPr>
          <w:i/>
          <w:iCs/>
          <w:u w:val="single"/>
          <w:lang w:val="en-GB"/>
        </w:rPr>
        <w:t xml:space="preserve">total </w:t>
      </w:r>
      <w:r w:rsidRPr="00A61CCA">
        <w:rPr>
          <w:i/>
          <w:iCs/>
          <w:u w:val="single"/>
          <w:lang w:val="en-GB"/>
        </w:rPr>
        <w:t>oil revenues</w:t>
      </w:r>
      <w:r w:rsidR="00B806C1">
        <w:rPr>
          <w:i/>
          <w:iCs/>
          <w:u w:val="single"/>
          <w:lang w:val="en-GB"/>
        </w:rPr>
        <w:t xml:space="preserve"> </w:t>
      </w:r>
      <w:r w:rsidR="00C05DE6">
        <w:rPr>
          <w:i/>
          <w:iCs/>
          <w:u w:val="single"/>
          <w:lang w:val="en-GB"/>
        </w:rPr>
        <w:t xml:space="preserve">in </w:t>
      </w:r>
      <w:r w:rsidR="00A61CCA" w:rsidRPr="00A61CCA">
        <w:rPr>
          <w:i/>
          <w:iCs/>
          <w:u w:val="single"/>
          <w:lang w:val="en-GB"/>
        </w:rPr>
        <w:t>three (3) years</w:t>
      </w:r>
      <w:r w:rsidR="003918F3">
        <w:rPr>
          <w:i/>
          <w:iCs/>
          <w:u w:val="single"/>
          <w:lang w:val="en-GB"/>
        </w:rPr>
        <w:t>, more</w:t>
      </w:r>
      <w:r w:rsidR="00A61CCA" w:rsidRPr="00A61CCA">
        <w:rPr>
          <w:i/>
          <w:iCs/>
          <w:u w:val="single"/>
          <w:lang w:val="en-GB"/>
        </w:rPr>
        <w:t xml:space="preserve"> than </w:t>
      </w:r>
      <w:r w:rsidR="002C4728">
        <w:rPr>
          <w:i/>
          <w:iCs/>
          <w:u w:val="single"/>
          <w:lang w:val="en-GB"/>
        </w:rPr>
        <w:t xml:space="preserve">the </w:t>
      </w:r>
      <w:r w:rsidR="00A61CCA" w:rsidRPr="002C4728">
        <w:rPr>
          <w:b/>
          <w:bCs/>
          <w:i/>
          <w:iCs/>
          <w:u w:val="single"/>
          <w:lang w:val="en-GB"/>
        </w:rPr>
        <w:t xml:space="preserve">combined </w:t>
      </w:r>
      <w:r w:rsidR="00EA071D" w:rsidRPr="00323D2D">
        <w:rPr>
          <w:i/>
          <w:iCs/>
          <w:u w:val="single"/>
          <w:lang w:val="en-GB"/>
        </w:rPr>
        <w:t xml:space="preserve">HE </w:t>
      </w:r>
      <w:r w:rsidR="00A61CCA" w:rsidRPr="00323D2D">
        <w:rPr>
          <w:i/>
          <w:iCs/>
          <w:u w:val="single"/>
          <w:lang w:val="en-GB"/>
        </w:rPr>
        <w:t>Mills</w:t>
      </w:r>
      <w:r w:rsidR="002C4728" w:rsidRPr="00323D2D">
        <w:rPr>
          <w:i/>
          <w:iCs/>
          <w:u w:val="single"/>
          <w:lang w:val="en-GB"/>
        </w:rPr>
        <w:t>/</w:t>
      </w:r>
      <w:r w:rsidR="00A61CCA" w:rsidRPr="00323D2D">
        <w:rPr>
          <w:i/>
          <w:iCs/>
          <w:u w:val="single"/>
          <w:lang w:val="en-GB"/>
        </w:rPr>
        <w:t xml:space="preserve">Mahama </w:t>
      </w:r>
      <w:r w:rsidR="002C4728" w:rsidRPr="00323D2D">
        <w:rPr>
          <w:i/>
          <w:iCs/>
          <w:u w:val="single"/>
          <w:lang w:val="en-GB"/>
        </w:rPr>
        <w:t>inflows for</w:t>
      </w:r>
      <w:r w:rsidR="00A61CCA" w:rsidRPr="00323D2D">
        <w:rPr>
          <w:i/>
          <w:iCs/>
          <w:u w:val="single"/>
          <w:lang w:val="en-GB"/>
        </w:rPr>
        <w:t xml:space="preserve"> six (6) years</w:t>
      </w:r>
      <w:r w:rsidR="00A61CCA">
        <w:rPr>
          <w:lang w:val="en-GB"/>
        </w:rPr>
        <w:t xml:space="preserve">. </w:t>
      </w:r>
      <w:r w:rsidR="00A9710B">
        <w:rPr>
          <w:lang w:val="en-GB"/>
        </w:rPr>
        <w:t>T</w:t>
      </w:r>
      <w:r w:rsidR="00B806C1">
        <w:rPr>
          <w:lang w:val="en-GB"/>
        </w:rPr>
        <w:t>h</w:t>
      </w:r>
      <w:r w:rsidR="002C4728">
        <w:rPr>
          <w:lang w:val="en-GB"/>
        </w:rPr>
        <w:t>e</w:t>
      </w:r>
      <w:r w:rsidR="00B806C1">
        <w:rPr>
          <w:lang w:val="en-GB"/>
        </w:rPr>
        <w:t>s</w:t>
      </w:r>
      <w:r w:rsidR="002C4728">
        <w:rPr>
          <w:lang w:val="en-GB"/>
        </w:rPr>
        <w:t>e</w:t>
      </w:r>
      <w:r w:rsidR="00323D2D">
        <w:rPr>
          <w:lang w:val="en-GB"/>
        </w:rPr>
        <w:t xml:space="preserve"> Mahama</w:t>
      </w:r>
      <w:r w:rsidR="00B806C1">
        <w:rPr>
          <w:lang w:val="en-GB"/>
        </w:rPr>
        <w:t xml:space="preserve"> </w:t>
      </w:r>
      <w:r w:rsidR="00B806C1">
        <w:rPr>
          <w:i/>
          <w:iCs/>
          <w:u w:val="single"/>
          <w:lang w:val="en-GB"/>
        </w:rPr>
        <w:t xml:space="preserve">investment </w:t>
      </w:r>
      <w:r w:rsidR="003918F3">
        <w:rPr>
          <w:i/>
          <w:iCs/>
          <w:u w:val="single"/>
          <w:lang w:val="en-GB"/>
        </w:rPr>
        <w:t>outcomes</w:t>
      </w:r>
      <w:r w:rsidR="00C05DE6">
        <w:rPr>
          <w:i/>
          <w:iCs/>
          <w:u w:val="single"/>
          <w:lang w:val="en-GB"/>
        </w:rPr>
        <w:t xml:space="preserve">, </w:t>
      </w:r>
      <w:r w:rsidR="00A9710B">
        <w:rPr>
          <w:i/>
          <w:iCs/>
          <w:u w:val="single"/>
          <w:lang w:val="en-GB"/>
        </w:rPr>
        <w:t>while</w:t>
      </w:r>
      <w:r w:rsidR="00C05DE6">
        <w:rPr>
          <w:i/>
          <w:iCs/>
          <w:u w:val="single"/>
          <w:lang w:val="en-GB"/>
        </w:rPr>
        <w:t xml:space="preserve"> navigating </w:t>
      </w:r>
      <w:r w:rsidR="00A9710B">
        <w:rPr>
          <w:i/>
          <w:iCs/>
          <w:u w:val="single"/>
          <w:lang w:val="en-GB"/>
        </w:rPr>
        <w:t>several</w:t>
      </w:r>
      <w:r w:rsidR="00C05DE6">
        <w:rPr>
          <w:i/>
          <w:iCs/>
          <w:u w:val="single"/>
          <w:lang w:val="en-GB"/>
        </w:rPr>
        <w:t xml:space="preserve"> crises, </w:t>
      </w:r>
      <w:r w:rsidR="00323D2D">
        <w:rPr>
          <w:i/>
          <w:iCs/>
          <w:u w:val="single"/>
          <w:lang w:val="en-GB"/>
        </w:rPr>
        <w:t xml:space="preserve">resulted in </w:t>
      </w:r>
      <w:r w:rsidR="00A9710B">
        <w:rPr>
          <w:i/>
          <w:iCs/>
          <w:u w:val="single"/>
          <w:lang w:val="en-GB"/>
        </w:rPr>
        <w:t>a 2017</w:t>
      </w:r>
      <w:r w:rsidR="00323D2D">
        <w:rPr>
          <w:i/>
          <w:iCs/>
          <w:u w:val="single"/>
          <w:lang w:val="en-GB"/>
        </w:rPr>
        <w:t xml:space="preserve"> turnaround that </w:t>
      </w:r>
      <w:r w:rsidR="00A9710B">
        <w:rPr>
          <w:i/>
          <w:iCs/>
          <w:u w:val="single"/>
          <w:lang w:val="en-GB"/>
        </w:rPr>
        <w:t>has become</w:t>
      </w:r>
      <w:r w:rsidR="00323D2D">
        <w:rPr>
          <w:i/>
          <w:iCs/>
          <w:u w:val="single"/>
          <w:lang w:val="en-GB"/>
        </w:rPr>
        <w:t xml:space="preserve"> sour</w:t>
      </w:r>
      <w:r>
        <w:rPr>
          <w:lang w:val="en-GB"/>
        </w:rPr>
        <w:t>.</w:t>
      </w:r>
    </w:p>
    <w:p w14:paraId="7EC85710" w14:textId="0BFF972C" w:rsidR="00701060" w:rsidRDefault="00701060" w:rsidP="00461D12">
      <w:pPr>
        <w:tabs>
          <w:tab w:val="left" w:pos="990"/>
        </w:tabs>
        <w:rPr>
          <w:b/>
          <w:bCs/>
          <w:lang w:val="en-GB"/>
        </w:rPr>
      </w:pPr>
    </w:p>
    <w:p w14:paraId="79655AEA" w14:textId="0145E306" w:rsidR="00414C3A" w:rsidRDefault="00414C3A" w:rsidP="00B806C1">
      <w:pPr>
        <w:ind w:firstLine="720"/>
        <w:rPr>
          <w:lang w:val="en-GB"/>
        </w:rPr>
      </w:pPr>
      <w:r>
        <w:rPr>
          <w:lang w:val="en-GB"/>
        </w:rPr>
        <w:t>Table 1 shows the revenues from the Jubilee, TEN and Sankofa petroleum fields t</w:t>
      </w:r>
      <w:r w:rsidR="003918F3">
        <w:rPr>
          <w:lang w:val="en-GB"/>
        </w:rPr>
        <w:t>o</w:t>
      </w:r>
      <w:r>
        <w:rPr>
          <w:lang w:val="en-GB"/>
        </w:rPr>
        <w:t xml:space="preserve"> the budget, including allocation</w:t>
      </w:r>
      <w:r w:rsidR="003918F3">
        <w:rPr>
          <w:lang w:val="en-GB"/>
        </w:rPr>
        <w:t>s</w:t>
      </w:r>
      <w:r>
        <w:rPr>
          <w:lang w:val="en-GB"/>
        </w:rPr>
        <w:t xml:space="preserve"> to </w:t>
      </w:r>
      <w:r w:rsidR="003918F3">
        <w:rPr>
          <w:lang w:val="en-GB"/>
        </w:rPr>
        <w:t xml:space="preserve">the </w:t>
      </w:r>
      <w:r>
        <w:rPr>
          <w:lang w:val="en-GB"/>
        </w:rPr>
        <w:t xml:space="preserve">statutory or sovereign wealth funds </w:t>
      </w:r>
      <w:r w:rsidR="00CA7CB0">
        <w:rPr>
          <w:lang w:val="en-GB"/>
        </w:rPr>
        <w:t xml:space="preserve">(SWFS) </w:t>
      </w:r>
      <w:r>
        <w:rPr>
          <w:lang w:val="en-GB"/>
        </w:rPr>
        <w:t>under the Petroleum Revenue Management Act (PRMA).</w:t>
      </w:r>
    </w:p>
    <w:p w14:paraId="585AF16E" w14:textId="11D396A9" w:rsidR="00414C3A" w:rsidRDefault="00414C3A" w:rsidP="00414C3A">
      <w:pPr>
        <w:rPr>
          <w:lang w:val="en-GB"/>
        </w:rPr>
      </w:pPr>
    </w:p>
    <w:p w14:paraId="2446A74F" w14:textId="26BBB71C" w:rsidR="00414C3A" w:rsidRPr="00AD649E" w:rsidRDefault="00414C3A" w:rsidP="00414C3A">
      <w:pPr>
        <w:rPr>
          <w:b/>
          <w:bCs/>
          <w:lang w:val="en-GB"/>
        </w:rPr>
      </w:pPr>
      <w:r w:rsidRPr="00AD649E">
        <w:rPr>
          <w:b/>
          <w:bCs/>
          <w:lang w:val="en-GB"/>
        </w:rPr>
        <w:lastRenderedPageBreak/>
        <w:t>Table 1: Revenues from Petroleum Fields</w:t>
      </w:r>
    </w:p>
    <w:p w14:paraId="0A6C8777" w14:textId="00958EFD" w:rsidR="00414C3A" w:rsidRDefault="00414C3A" w:rsidP="00414C3A">
      <w:pPr>
        <w:rPr>
          <w:lang w:val="en-GB"/>
        </w:rPr>
      </w:pPr>
    </w:p>
    <w:p w14:paraId="049B4094" w14:textId="137435D6" w:rsidR="00414C3A" w:rsidRDefault="00414C3A" w:rsidP="00414C3A">
      <w:pPr>
        <w:rPr>
          <w:lang w:val="en-GB"/>
        </w:rPr>
      </w:pPr>
      <w:bookmarkStart w:id="1" w:name="_GoBack"/>
      <w:r w:rsidRPr="00414C3A">
        <w:rPr>
          <w:noProof/>
        </w:rPr>
        <w:drawing>
          <wp:inline distT="0" distB="0" distL="0" distR="0" wp14:anchorId="057C231A" wp14:editId="02788FD3">
            <wp:extent cx="5943600" cy="28994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ED53AF4" w14:textId="25434DE0" w:rsidR="00144B22" w:rsidRDefault="00144B22" w:rsidP="00461D12">
      <w:pPr>
        <w:tabs>
          <w:tab w:val="left" w:pos="720"/>
        </w:tabs>
        <w:ind w:left="720" w:hanging="720"/>
        <w:rPr>
          <w:noProof/>
        </w:rPr>
      </w:pPr>
    </w:p>
    <w:p w14:paraId="6121C2D6" w14:textId="264C2184" w:rsidR="00E834C3" w:rsidRPr="003A44DC" w:rsidRDefault="00554623" w:rsidP="0077187B">
      <w:pPr>
        <w:pStyle w:val="ListParagraph"/>
        <w:numPr>
          <w:ilvl w:val="0"/>
          <w:numId w:val="7"/>
        </w:numPr>
        <w:tabs>
          <w:tab w:val="left" w:pos="990"/>
        </w:tabs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 xml:space="preserve">Nana Addo </w:t>
      </w:r>
      <w:r w:rsidR="005D2520">
        <w:rPr>
          <w:b/>
          <w:bCs/>
          <w:lang w:val="en-GB"/>
        </w:rPr>
        <w:t>is lone</w:t>
      </w:r>
      <w:r w:rsidR="003918F3">
        <w:rPr>
          <w:b/>
          <w:bCs/>
          <w:lang w:val="en-GB"/>
        </w:rPr>
        <w:t xml:space="preserve"> </w:t>
      </w:r>
      <w:r w:rsidR="00B304FC">
        <w:rPr>
          <w:b/>
          <w:bCs/>
          <w:lang w:val="en-GB"/>
        </w:rPr>
        <w:t>benefi</w:t>
      </w:r>
      <w:r w:rsidR="005D2520">
        <w:rPr>
          <w:b/>
          <w:bCs/>
          <w:lang w:val="en-GB"/>
        </w:rPr>
        <w:t>ciary</w:t>
      </w:r>
      <w:r w:rsidR="00B304FC">
        <w:rPr>
          <w:b/>
          <w:bCs/>
          <w:lang w:val="en-GB"/>
        </w:rPr>
        <w:t xml:space="preserve"> </w:t>
      </w:r>
      <w:r w:rsidR="005D2520">
        <w:rPr>
          <w:b/>
          <w:bCs/>
          <w:lang w:val="en-GB"/>
        </w:rPr>
        <w:t>(</w:t>
      </w:r>
      <w:r w:rsidR="00C1396F">
        <w:rPr>
          <w:b/>
          <w:bCs/>
          <w:lang w:val="en-GB"/>
        </w:rPr>
        <w:t>100%</w:t>
      </w:r>
      <w:r w:rsidR="005D2520">
        <w:rPr>
          <w:b/>
          <w:bCs/>
          <w:lang w:val="en-GB"/>
        </w:rPr>
        <w:t>)</w:t>
      </w:r>
      <w:r w:rsidR="00C1396F">
        <w:rPr>
          <w:b/>
          <w:bCs/>
          <w:lang w:val="en-GB"/>
        </w:rPr>
        <w:t xml:space="preserve"> </w:t>
      </w:r>
      <w:r w:rsidR="005D2520">
        <w:rPr>
          <w:b/>
          <w:bCs/>
          <w:lang w:val="en-GB"/>
        </w:rPr>
        <w:t>of</w:t>
      </w:r>
      <w:r w:rsidR="00E54B84">
        <w:rPr>
          <w:b/>
          <w:bCs/>
          <w:lang w:val="en-GB"/>
        </w:rPr>
        <w:t xml:space="preserve"> </w:t>
      </w:r>
      <w:r w:rsidR="008E0891">
        <w:rPr>
          <w:b/>
          <w:bCs/>
          <w:lang w:val="en-GB"/>
        </w:rPr>
        <w:t>Sankofa/TEN</w:t>
      </w:r>
      <w:r w:rsidR="005D2520">
        <w:rPr>
          <w:b/>
          <w:bCs/>
          <w:lang w:val="en-GB"/>
        </w:rPr>
        <w:t xml:space="preserve"> since 2017</w:t>
      </w:r>
    </w:p>
    <w:p w14:paraId="032D650E" w14:textId="7F8A7A30" w:rsidR="0077187B" w:rsidRDefault="0077187B" w:rsidP="0077187B">
      <w:pPr>
        <w:pStyle w:val="ListParagraph"/>
        <w:tabs>
          <w:tab w:val="left" w:pos="990"/>
        </w:tabs>
        <w:rPr>
          <w:lang w:val="en-GB"/>
        </w:rPr>
      </w:pPr>
    </w:p>
    <w:p w14:paraId="78FBB63A" w14:textId="49F300F3" w:rsidR="008E0891" w:rsidRDefault="00D97910" w:rsidP="008E0891">
      <w:pPr>
        <w:pStyle w:val="ListParagraph"/>
        <w:ind w:left="0" w:firstLine="720"/>
        <w:rPr>
          <w:lang w:val="en-GB"/>
        </w:rPr>
      </w:pPr>
      <w:r>
        <w:rPr>
          <w:lang w:val="en-GB"/>
        </w:rPr>
        <w:t>In addition to Jubilee</w:t>
      </w:r>
      <w:r w:rsidR="005D2520">
        <w:rPr>
          <w:lang w:val="en-GB"/>
        </w:rPr>
        <w:t xml:space="preserve"> from 2011</w:t>
      </w:r>
      <w:r>
        <w:rPr>
          <w:lang w:val="en-GB"/>
        </w:rPr>
        <w:t xml:space="preserve">, the </w:t>
      </w:r>
      <w:r w:rsidR="005D2520">
        <w:rPr>
          <w:lang w:val="en-GB"/>
        </w:rPr>
        <w:t xml:space="preserve">current </w:t>
      </w:r>
      <w:r>
        <w:rPr>
          <w:lang w:val="en-GB"/>
        </w:rPr>
        <w:t>government</w:t>
      </w:r>
      <w:r w:rsidR="000008B8">
        <w:rPr>
          <w:lang w:val="en-GB"/>
        </w:rPr>
        <w:t xml:space="preserve"> </w:t>
      </w:r>
      <w:r w:rsidR="007D5B66" w:rsidRPr="00805609">
        <w:rPr>
          <w:i/>
          <w:iCs/>
          <w:u w:val="single"/>
          <w:lang w:val="en-GB"/>
        </w:rPr>
        <w:t>inherit</w:t>
      </w:r>
      <w:r>
        <w:rPr>
          <w:i/>
          <w:iCs/>
          <w:u w:val="single"/>
          <w:lang w:val="en-GB"/>
        </w:rPr>
        <w:t>ed</w:t>
      </w:r>
      <w:r w:rsidR="003A44DC" w:rsidRPr="00805609">
        <w:rPr>
          <w:i/>
          <w:iCs/>
          <w:u w:val="single"/>
          <w:lang w:val="en-GB"/>
        </w:rPr>
        <w:t xml:space="preserve"> the </w:t>
      </w:r>
      <w:r w:rsidR="000008B8" w:rsidRPr="00805609">
        <w:rPr>
          <w:i/>
          <w:iCs/>
          <w:u w:val="single"/>
          <w:lang w:val="en-GB"/>
        </w:rPr>
        <w:t xml:space="preserve">entire </w:t>
      </w:r>
      <w:r w:rsidR="00283E33" w:rsidRPr="00805609">
        <w:rPr>
          <w:i/>
          <w:iCs/>
          <w:u w:val="single"/>
          <w:lang w:val="en-GB"/>
        </w:rPr>
        <w:t xml:space="preserve">output and </w:t>
      </w:r>
      <w:r w:rsidR="0055281A" w:rsidRPr="00805609">
        <w:rPr>
          <w:i/>
          <w:iCs/>
          <w:u w:val="single"/>
          <w:lang w:val="en-GB"/>
        </w:rPr>
        <w:t>revenues from</w:t>
      </w:r>
      <w:r w:rsidR="0055281A" w:rsidRPr="00EB2A96">
        <w:rPr>
          <w:i/>
          <w:iCs/>
          <w:u w:val="single"/>
          <w:lang w:val="en-GB"/>
        </w:rPr>
        <w:t xml:space="preserve"> </w:t>
      </w:r>
      <w:r w:rsidR="003A44DC" w:rsidRPr="00EB2A96">
        <w:rPr>
          <w:i/>
          <w:iCs/>
          <w:u w:val="single"/>
          <w:lang w:val="en-GB"/>
        </w:rPr>
        <w:t>Sankofa</w:t>
      </w:r>
      <w:r w:rsidR="003918F3">
        <w:rPr>
          <w:i/>
          <w:iCs/>
          <w:u w:val="single"/>
          <w:lang w:val="en-GB"/>
        </w:rPr>
        <w:t>/</w:t>
      </w:r>
      <w:r w:rsidR="003A44DC" w:rsidRPr="00EB2A96">
        <w:rPr>
          <w:i/>
          <w:iCs/>
          <w:u w:val="single"/>
          <w:lang w:val="en-GB"/>
        </w:rPr>
        <w:t>TEN</w:t>
      </w:r>
      <w:r w:rsidR="003918F3" w:rsidRPr="005D2520">
        <w:rPr>
          <w:i/>
          <w:iCs/>
          <w:lang w:val="en-GB"/>
        </w:rPr>
        <w:t>—</w:t>
      </w:r>
      <w:r w:rsidR="003918F3">
        <w:rPr>
          <w:lang w:val="en-GB"/>
        </w:rPr>
        <w:t xml:space="preserve">with </w:t>
      </w:r>
      <w:r w:rsidR="00E54B84" w:rsidRPr="00AD7AFF">
        <w:rPr>
          <w:i/>
          <w:iCs/>
          <w:u w:val="single"/>
          <w:lang w:val="en-GB"/>
        </w:rPr>
        <w:t>M</w:t>
      </w:r>
      <w:r w:rsidR="00805609" w:rsidRPr="00AD7AFF">
        <w:rPr>
          <w:i/>
          <w:iCs/>
          <w:u w:val="single"/>
          <w:lang w:val="en-GB"/>
        </w:rPr>
        <w:t>ills/M</w:t>
      </w:r>
      <w:r w:rsidR="00E54B84" w:rsidRPr="00AD7AFF">
        <w:rPr>
          <w:i/>
          <w:iCs/>
          <w:u w:val="single"/>
          <w:lang w:val="en-GB"/>
        </w:rPr>
        <w:t>ahama invest</w:t>
      </w:r>
      <w:r w:rsidR="003918F3">
        <w:rPr>
          <w:i/>
          <w:iCs/>
          <w:u w:val="single"/>
          <w:lang w:val="en-GB"/>
        </w:rPr>
        <w:t>ments</w:t>
      </w:r>
      <w:r w:rsidR="00E54B84" w:rsidRPr="00AD7AFF">
        <w:rPr>
          <w:i/>
          <w:iCs/>
          <w:u w:val="single"/>
          <w:lang w:val="en-GB"/>
        </w:rPr>
        <w:t xml:space="preserve"> in </w:t>
      </w:r>
      <w:r w:rsidRPr="00AD7AFF">
        <w:rPr>
          <w:i/>
          <w:iCs/>
          <w:u w:val="single"/>
          <w:lang w:val="en-GB"/>
        </w:rPr>
        <w:t>all 3</w:t>
      </w:r>
      <w:r w:rsidR="003918F3">
        <w:rPr>
          <w:i/>
          <w:iCs/>
          <w:u w:val="single"/>
          <w:lang w:val="en-GB"/>
        </w:rPr>
        <w:t xml:space="preserve"> fields</w:t>
      </w:r>
      <w:r w:rsidR="00EB2A96" w:rsidRPr="00AD7AFF">
        <w:rPr>
          <w:i/>
          <w:iCs/>
          <w:u w:val="single"/>
          <w:lang w:val="en-GB"/>
        </w:rPr>
        <w:t xml:space="preserve"> </w:t>
      </w:r>
      <w:r w:rsidR="000008B8" w:rsidRPr="00AD7AFF">
        <w:rPr>
          <w:i/>
          <w:iCs/>
          <w:u w:val="single"/>
          <w:lang w:val="en-GB"/>
        </w:rPr>
        <w:t>while</w:t>
      </w:r>
      <w:r w:rsidR="007D5B66" w:rsidRPr="00AD7AFF">
        <w:rPr>
          <w:i/>
          <w:iCs/>
          <w:u w:val="single"/>
          <w:lang w:val="en-GB"/>
        </w:rPr>
        <w:t xml:space="preserve"> </w:t>
      </w:r>
      <w:r w:rsidR="00E54B84" w:rsidRPr="00AD7AFF">
        <w:rPr>
          <w:i/>
          <w:iCs/>
          <w:u w:val="single"/>
          <w:lang w:val="en-GB"/>
        </w:rPr>
        <w:t xml:space="preserve">Nana Addo </w:t>
      </w:r>
      <w:r w:rsidR="000008B8" w:rsidRPr="00AD7AFF">
        <w:rPr>
          <w:i/>
          <w:iCs/>
          <w:u w:val="single"/>
          <w:lang w:val="en-GB"/>
        </w:rPr>
        <w:t xml:space="preserve">continues to </w:t>
      </w:r>
      <w:r w:rsidR="00E54B84" w:rsidRPr="00AD7AFF">
        <w:rPr>
          <w:i/>
          <w:iCs/>
          <w:u w:val="single"/>
          <w:lang w:val="en-GB"/>
        </w:rPr>
        <w:t xml:space="preserve">reap the </w:t>
      </w:r>
      <w:r w:rsidR="007D5B66" w:rsidRPr="00AD7AFF">
        <w:rPr>
          <w:i/>
          <w:iCs/>
          <w:u w:val="single"/>
          <w:lang w:val="en-GB"/>
        </w:rPr>
        <w:t>benefits</w:t>
      </w:r>
      <w:r w:rsidR="007D5B66" w:rsidRPr="00AD7AFF">
        <w:rPr>
          <w:lang w:val="en-GB"/>
        </w:rPr>
        <w:t>.</w:t>
      </w:r>
      <w:r w:rsidR="008E0891">
        <w:rPr>
          <w:lang w:val="en-GB"/>
        </w:rPr>
        <w:t xml:space="preserve"> </w:t>
      </w:r>
      <w:r w:rsidR="003918F3">
        <w:rPr>
          <w:lang w:val="en-GB"/>
        </w:rPr>
        <w:t>Table 2</w:t>
      </w:r>
      <w:r w:rsidR="00CA7CB0">
        <w:rPr>
          <w:lang w:val="en-GB"/>
        </w:rPr>
        <w:t>/</w:t>
      </w:r>
      <w:r w:rsidR="004713D5" w:rsidRPr="00AD7AFF">
        <w:rPr>
          <w:lang w:val="en-GB"/>
        </w:rPr>
        <w:t>Figure</w:t>
      </w:r>
      <w:r w:rsidR="00CA7CB0">
        <w:rPr>
          <w:lang w:val="en-GB"/>
        </w:rPr>
        <w:t>s</w:t>
      </w:r>
      <w:r w:rsidR="004713D5" w:rsidRPr="00AD7AFF">
        <w:rPr>
          <w:lang w:val="en-GB"/>
        </w:rPr>
        <w:t xml:space="preserve"> </w:t>
      </w:r>
      <w:r w:rsidR="00CA7CB0">
        <w:rPr>
          <w:lang w:val="en-GB"/>
        </w:rPr>
        <w:t>1/</w:t>
      </w:r>
      <w:r w:rsidR="004713D5" w:rsidRPr="00AD7AFF">
        <w:rPr>
          <w:lang w:val="en-GB"/>
        </w:rPr>
        <w:t>2 show</w:t>
      </w:r>
      <w:r w:rsidR="00761616" w:rsidRPr="00AD7AFF">
        <w:rPr>
          <w:lang w:val="en-GB"/>
        </w:rPr>
        <w:t xml:space="preserve"> </w:t>
      </w:r>
      <w:r w:rsidR="00761616" w:rsidRPr="00AD7AFF">
        <w:rPr>
          <w:i/>
          <w:iCs/>
          <w:u w:val="single"/>
          <w:lang w:val="en-GB"/>
        </w:rPr>
        <w:t>tw</w:t>
      </w:r>
      <w:r w:rsidR="004713D5" w:rsidRPr="00AD7AFF">
        <w:rPr>
          <w:i/>
          <w:iCs/>
          <w:u w:val="single"/>
          <w:lang w:val="en-GB"/>
        </w:rPr>
        <w:t xml:space="preserve">o </w:t>
      </w:r>
      <w:r w:rsidRPr="00AD7AFF">
        <w:rPr>
          <w:i/>
          <w:iCs/>
          <w:u w:val="single"/>
          <w:lang w:val="en-GB"/>
        </w:rPr>
        <w:t xml:space="preserve">100% </w:t>
      </w:r>
      <w:r w:rsidR="003918F3">
        <w:rPr>
          <w:i/>
          <w:iCs/>
          <w:u w:val="single"/>
          <w:lang w:val="en-GB"/>
        </w:rPr>
        <w:t>S</w:t>
      </w:r>
      <w:r w:rsidR="00CA7CB0">
        <w:rPr>
          <w:i/>
          <w:iCs/>
          <w:u w:val="single"/>
          <w:lang w:val="en-GB"/>
        </w:rPr>
        <w:t>ankofa</w:t>
      </w:r>
      <w:r w:rsidR="003918F3">
        <w:rPr>
          <w:i/>
          <w:iCs/>
          <w:u w:val="single"/>
          <w:lang w:val="en-GB"/>
        </w:rPr>
        <w:t xml:space="preserve">/TEN </w:t>
      </w:r>
      <w:r w:rsidR="004713D5" w:rsidRPr="00AD7AFF">
        <w:rPr>
          <w:i/>
          <w:iCs/>
          <w:u w:val="single"/>
          <w:lang w:val="en-GB"/>
        </w:rPr>
        <w:t xml:space="preserve">bars </w:t>
      </w:r>
      <w:r w:rsidR="00761616" w:rsidRPr="00AD7AFF">
        <w:rPr>
          <w:i/>
          <w:iCs/>
          <w:u w:val="single"/>
          <w:lang w:val="en-GB"/>
        </w:rPr>
        <w:t xml:space="preserve">for </w:t>
      </w:r>
      <w:r w:rsidR="004713D5" w:rsidRPr="00AD7AFF">
        <w:rPr>
          <w:i/>
          <w:iCs/>
          <w:u w:val="single"/>
          <w:lang w:val="en-GB"/>
        </w:rPr>
        <w:t>Nana Addo</w:t>
      </w:r>
      <w:r w:rsidR="003918F3">
        <w:rPr>
          <w:i/>
          <w:iCs/>
          <w:u w:val="single"/>
          <w:lang w:val="en-GB"/>
        </w:rPr>
        <w:t xml:space="preserve"> and</w:t>
      </w:r>
      <w:r w:rsidR="004713D5" w:rsidRPr="00AD7AFF">
        <w:rPr>
          <w:i/>
          <w:iCs/>
          <w:u w:val="single"/>
          <w:lang w:val="en-GB"/>
        </w:rPr>
        <w:t xml:space="preserve"> </w:t>
      </w:r>
      <w:r w:rsidR="00761616" w:rsidRPr="00AD7AFF">
        <w:rPr>
          <w:i/>
          <w:iCs/>
          <w:u w:val="single"/>
          <w:lang w:val="en-GB"/>
        </w:rPr>
        <w:t>zero (</w:t>
      </w:r>
      <w:r w:rsidR="004713D5" w:rsidRPr="00AD7AFF">
        <w:rPr>
          <w:i/>
          <w:iCs/>
          <w:u w:val="single"/>
          <w:lang w:val="en-GB"/>
        </w:rPr>
        <w:t>0%</w:t>
      </w:r>
      <w:r w:rsidR="00761616" w:rsidRPr="00AD7AFF">
        <w:rPr>
          <w:i/>
          <w:iCs/>
          <w:u w:val="single"/>
          <w:lang w:val="en-GB"/>
        </w:rPr>
        <w:t xml:space="preserve">) for </w:t>
      </w:r>
      <w:r w:rsidR="004713D5" w:rsidRPr="00AD7AFF">
        <w:rPr>
          <w:i/>
          <w:iCs/>
          <w:u w:val="single"/>
          <w:lang w:val="en-GB"/>
        </w:rPr>
        <w:t>Mills</w:t>
      </w:r>
      <w:r w:rsidR="00C1396F">
        <w:rPr>
          <w:i/>
          <w:iCs/>
          <w:u w:val="single"/>
          <w:lang w:val="en-GB"/>
        </w:rPr>
        <w:t xml:space="preserve"> and </w:t>
      </w:r>
      <w:r w:rsidR="004713D5" w:rsidRPr="00AD7AFF">
        <w:rPr>
          <w:i/>
          <w:iCs/>
          <w:u w:val="single"/>
          <w:lang w:val="en-GB"/>
        </w:rPr>
        <w:t>Mahama</w:t>
      </w:r>
      <w:r w:rsidR="004713D5" w:rsidRPr="00AD7AFF">
        <w:rPr>
          <w:lang w:val="en-GB"/>
        </w:rPr>
        <w:t>.</w:t>
      </w:r>
    </w:p>
    <w:p w14:paraId="4844167C" w14:textId="77777777" w:rsidR="008E0891" w:rsidRDefault="008E0891" w:rsidP="008E0891">
      <w:pPr>
        <w:pStyle w:val="ListParagraph"/>
        <w:ind w:left="0" w:firstLine="720"/>
        <w:rPr>
          <w:lang w:val="en-GB"/>
        </w:rPr>
      </w:pPr>
    </w:p>
    <w:p w14:paraId="7F268887" w14:textId="587D2EF4" w:rsidR="003A44DC" w:rsidRPr="00C1396F" w:rsidRDefault="003918F3" w:rsidP="008E0891">
      <w:pPr>
        <w:pStyle w:val="ListParagraph"/>
        <w:ind w:left="0" w:firstLine="720"/>
        <w:rPr>
          <w:lang w:val="en-GB"/>
        </w:rPr>
      </w:pPr>
      <w:r>
        <w:rPr>
          <w:lang w:val="en-GB"/>
        </w:rPr>
        <w:t>From</w:t>
      </w:r>
      <w:r w:rsidR="00EB2A96" w:rsidRPr="00AD7AFF">
        <w:rPr>
          <w:lang w:val="en-GB"/>
        </w:rPr>
        <w:t xml:space="preserve"> the total of </w:t>
      </w:r>
      <w:r w:rsidR="008E0891">
        <w:rPr>
          <w:lang w:val="en-GB"/>
        </w:rPr>
        <w:t>US$</w:t>
      </w:r>
      <w:r w:rsidR="00EB2A96" w:rsidRPr="00AD7AFF">
        <w:rPr>
          <w:lang w:val="en-GB"/>
        </w:rPr>
        <w:t>380 million</w:t>
      </w:r>
      <w:r w:rsidR="0047556C" w:rsidRPr="00AD7AFF">
        <w:rPr>
          <w:lang w:val="en-GB"/>
        </w:rPr>
        <w:t xml:space="preserve"> </w:t>
      </w:r>
      <w:r>
        <w:rPr>
          <w:lang w:val="en-GB"/>
        </w:rPr>
        <w:t xml:space="preserve">since </w:t>
      </w:r>
      <w:r w:rsidR="00EB2A96" w:rsidRPr="00AD7AFF">
        <w:rPr>
          <w:lang w:val="en-GB"/>
        </w:rPr>
        <w:t xml:space="preserve">2011, </w:t>
      </w:r>
      <w:r w:rsidR="0047556C" w:rsidRPr="00AD7AFF">
        <w:rPr>
          <w:i/>
          <w:iCs/>
          <w:u w:val="single"/>
          <w:lang w:val="en-GB"/>
        </w:rPr>
        <w:t xml:space="preserve">Nana Addo </w:t>
      </w:r>
      <w:r w:rsidR="00761616" w:rsidRPr="00AD7AFF">
        <w:rPr>
          <w:i/>
          <w:iCs/>
          <w:u w:val="single"/>
          <w:lang w:val="en-GB"/>
        </w:rPr>
        <w:t>g</w:t>
      </w:r>
      <w:r w:rsidR="00CA7CB0">
        <w:rPr>
          <w:i/>
          <w:iCs/>
          <w:u w:val="single"/>
          <w:lang w:val="en-GB"/>
        </w:rPr>
        <w:t>o</w:t>
      </w:r>
      <w:r w:rsidR="00761616" w:rsidRPr="00AD7AFF">
        <w:rPr>
          <w:i/>
          <w:iCs/>
          <w:u w:val="single"/>
          <w:lang w:val="en-GB"/>
        </w:rPr>
        <w:t>t</w:t>
      </w:r>
      <w:r w:rsidR="00D85036" w:rsidRPr="00AD7AFF">
        <w:rPr>
          <w:i/>
          <w:iCs/>
          <w:u w:val="single"/>
          <w:lang w:val="en-GB"/>
        </w:rPr>
        <w:t xml:space="preserve"> </w:t>
      </w:r>
      <w:r w:rsidR="008E0891">
        <w:rPr>
          <w:i/>
          <w:iCs/>
          <w:u w:val="single"/>
          <w:lang w:val="en-GB"/>
        </w:rPr>
        <w:t>US$</w:t>
      </w:r>
      <w:r w:rsidR="002D7E41" w:rsidRPr="00AD7AFF">
        <w:rPr>
          <w:i/>
          <w:iCs/>
          <w:u w:val="single"/>
          <w:lang w:val="en-GB"/>
        </w:rPr>
        <w:t>214.2</w:t>
      </w:r>
      <w:r w:rsidR="00761616" w:rsidRPr="00AD7AFF">
        <w:rPr>
          <w:i/>
          <w:iCs/>
          <w:u w:val="single"/>
          <w:lang w:val="en-GB"/>
        </w:rPr>
        <w:t>m (56.4</w:t>
      </w:r>
      <w:r w:rsidR="00CA7CB0">
        <w:rPr>
          <w:i/>
          <w:iCs/>
          <w:u w:val="single"/>
          <w:lang w:val="en-GB"/>
        </w:rPr>
        <w:t>%</w:t>
      </w:r>
      <w:r w:rsidR="005F458C" w:rsidRPr="00AD7AFF">
        <w:rPr>
          <w:i/>
          <w:iCs/>
          <w:u w:val="single"/>
          <w:lang w:val="en-GB"/>
        </w:rPr>
        <w:t xml:space="preserve">) </w:t>
      </w:r>
      <w:r w:rsidR="00EB2A96" w:rsidRPr="00AD7AFF">
        <w:rPr>
          <w:i/>
          <w:iCs/>
          <w:u w:val="single"/>
          <w:lang w:val="en-GB"/>
        </w:rPr>
        <w:t xml:space="preserve">in three-and-half (3.5) years </w:t>
      </w:r>
      <w:r w:rsidR="00761616" w:rsidRPr="00AD7AFF">
        <w:rPr>
          <w:i/>
          <w:iCs/>
          <w:u w:val="single"/>
          <w:lang w:val="en-GB"/>
        </w:rPr>
        <w:t>compared to</w:t>
      </w:r>
      <w:r w:rsidR="00D85036" w:rsidRPr="00AD7AFF">
        <w:rPr>
          <w:i/>
          <w:iCs/>
          <w:u w:val="single"/>
          <w:lang w:val="en-GB"/>
        </w:rPr>
        <w:t xml:space="preserve"> </w:t>
      </w:r>
      <w:r w:rsidR="008E0891">
        <w:rPr>
          <w:i/>
          <w:iCs/>
          <w:u w:val="single"/>
          <w:lang w:val="en-GB"/>
        </w:rPr>
        <w:t>US$</w:t>
      </w:r>
      <w:r w:rsidR="00EB2A96" w:rsidRPr="00AD7AFF">
        <w:rPr>
          <w:i/>
          <w:iCs/>
          <w:u w:val="single"/>
          <w:lang w:val="en-GB"/>
        </w:rPr>
        <w:t>50.5</w:t>
      </w:r>
      <w:r w:rsidR="00761616" w:rsidRPr="00AD7AFF">
        <w:rPr>
          <w:i/>
          <w:iCs/>
          <w:u w:val="single"/>
          <w:lang w:val="en-GB"/>
        </w:rPr>
        <w:t>m (13.3</w:t>
      </w:r>
      <w:r w:rsidR="00CA7CB0">
        <w:rPr>
          <w:i/>
          <w:iCs/>
          <w:u w:val="single"/>
          <w:lang w:val="en-GB"/>
        </w:rPr>
        <w:t>%</w:t>
      </w:r>
      <w:r w:rsidR="00EB2A96" w:rsidRPr="00AD7AFF">
        <w:rPr>
          <w:i/>
          <w:iCs/>
          <w:u w:val="single"/>
          <w:lang w:val="en-GB"/>
        </w:rPr>
        <w:t>)</w:t>
      </w:r>
      <w:r w:rsidR="00761616" w:rsidRPr="00AD7AFF">
        <w:rPr>
          <w:i/>
          <w:iCs/>
          <w:u w:val="single"/>
          <w:lang w:val="en-GB"/>
        </w:rPr>
        <w:t xml:space="preserve"> in one-and-half (1.5) years for Mills</w:t>
      </w:r>
      <w:r w:rsidR="00D85036" w:rsidRPr="00AD7AFF">
        <w:rPr>
          <w:i/>
          <w:iCs/>
          <w:u w:val="single"/>
          <w:lang w:val="en-GB"/>
        </w:rPr>
        <w:t xml:space="preserve"> </w:t>
      </w:r>
      <w:r w:rsidR="00EB2A96" w:rsidRPr="00AD7AFF">
        <w:rPr>
          <w:i/>
          <w:iCs/>
          <w:u w:val="single"/>
          <w:lang w:val="en-GB"/>
        </w:rPr>
        <w:t>and</w:t>
      </w:r>
      <w:r w:rsidR="00D85036" w:rsidRPr="00AD7AFF">
        <w:rPr>
          <w:i/>
          <w:iCs/>
          <w:u w:val="single"/>
          <w:lang w:val="en-GB"/>
        </w:rPr>
        <w:t xml:space="preserve"> </w:t>
      </w:r>
      <w:r w:rsidR="00EB2A96" w:rsidRPr="00AD7AFF">
        <w:rPr>
          <w:i/>
          <w:iCs/>
          <w:u w:val="single"/>
          <w:lang w:val="en-GB"/>
        </w:rPr>
        <w:t>Ghc115</w:t>
      </w:r>
      <w:r w:rsidR="00761616" w:rsidRPr="00AD7AFF">
        <w:rPr>
          <w:i/>
          <w:iCs/>
          <w:u w:val="single"/>
          <w:lang w:val="en-GB"/>
        </w:rPr>
        <w:t>m (30.3</w:t>
      </w:r>
      <w:r w:rsidR="00CA7CB0">
        <w:rPr>
          <w:i/>
          <w:iCs/>
          <w:u w:val="single"/>
          <w:lang w:val="en-GB"/>
        </w:rPr>
        <w:t>%</w:t>
      </w:r>
      <w:r w:rsidR="005F458C" w:rsidRPr="00AD7AFF">
        <w:rPr>
          <w:i/>
          <w:iCs/>
          <w:u w:val="single"/>
          <w:lang w:val="en-GB"/>
        </w:rPr>
        <w:t>)</w:t>
      </w:r>
      <w:r w:rsidR="00EB2A96" w:rsidRPr="00AD7AFF">
        <w:rPr>
          <w:i/>
          <w:iCs/>
          <w:u w:val="single"/>
          <w:lang w:val="en-GB"/>
        </w:rPr>
        <w:t xml:space="preserve"> </w:t>
      </w:r>
      <w:r w:rsidR="00761616" w:rsidRPr="00AD7AFF">
        <w:rPr>
          <w:i/>
          <w:iCs/>
          <w:u w:val="single"/>
          <w:lang w:val="en-GB"/>
        </w:rPr>
        <w:t>for Mahama</w:t>
      </w:r>
      <w:r w:rsidR="00EB2A96" w:rsidRPr="00AD7AFF">
        <w:rPr>
          <w:i/>
          <w:iCs/>
          <w:u w:val="single"/>
          <w:lang w:val="en-GB"/>
        </w:rPr>
        <w:t xml:space="preserve"> </w:t>
      </w:r>
      <w:r w:rsidR="00761616" w:rsidRPr="00AD7AFF">
        <w:rPr>
          <w:i/>
          <w:iCs/>
          <w:u w:val="single"/>
          <w:lang w:val="en-GB"/>
        </w:rPr>
        <w:t>in</w:t>
      </w:r>
      <w:r w:rsidR="00144B22" w:rsidRPr="00AD7AFF">
        <w:rPr>
          <w:i/>
          <w:iCs/>
          <w:u w:val="single"/>
          <w:lang w:val="en-GB"/>
        </w:rPr>
        <w:t xml:space="preserve"> (4) years</w:t>
      </w:r>
      <w:r w:rsidR="00BF7EAE" w:rsidRPr="00AD7AFF">
        <w:rPr>
          <w:lang w:val="en-GB"/>
        </w:rPr>
        <w:t>.</w:t>
      </w:r>
      <w:r w:rsidR="000C249A" w:rsidRPr="00AD7AFF">
        <w:rPr>
          <w:lang w:val="en-GB"/>
        </w:rPr>
        <w:t xml:space="preserve"> </w:t>
      </w:r>
      <w:r w:rsidR="00C1396F">
        <w:rPr>
          <w:lang w:val="en-GB"/>
        </w:rPr>
        <w:t>A</w:t>
      </w:r>
      <w:r w:rsidR="00CA7CB0">
        <w:rPr>
          <w:lang w:val="en-GB"/>
        </w:rPr>
        <w:t xml:space="preserve"> total</w:t>
      </w:r>
      <w:r w:rsidR="008E0891">
        <w:rPr>
          <w:lang w:val="en-GB"/>
        </w:rPr>
        <w:t xml:space="preserve"> </w:t>
      </w:r>
      <w:r w:rsidR="00C1396F">
        <w:rPr>
          <w:lang w:val="en-GB"/>
        </w:rPr>
        <w:t xml:space="preserve">of </w:t>
      </w:r>
      <w:r w:rsidR="00C1396F" w:rsidRPr="0047556C">
        <w:rPr>
          <w:i/>
          <w:iCs/>
          <w:highlight w:val="yellow"/>
          <w:u w:val="single"/>
          <w:lang w:val="en-GB"/>
        </w:rPr>
        <w:t>US$113.3</w:t>
      </w:r>
      <w:r w:rsidR="00C1396F">
        <w:rPr>
          <w:i/>
          <w:iCs/>
          <w:highlight w:val="yellow"/>
          <w:u w:val="single"/>
          <w:lang w:val="en-GB"/>
        </w:rPr>
        <w:t>m</w:t>
      </w:r>
      <w:r w:rsidR="00C1396F">
        <w:rPr>
          <w:i/>
          <w:iCs/>
          <w:u w:val="single"/>
          <w:lang w:val="en-GB"/>
        </w:rPr>
        <w:t xml:space="preserve"> from Sankofa (US$37.2m) and TEN (US$ 76.1m) </w:t>
      </w:r>
      <w:r w:rsidR="00CA7CB0">
        <w:rPr>
          <w:i/>
          <w:iCs/>
          <w:u w:val="single"/>
          <w:lang w:val="en-GB"/>
        </w:rPr>
        <w:t>went</w:t>
      </w:r>
      <w:r w:rsidR="00C1396F" w:rsidRPr="002D7E41">
        <w:rPr>
          <w:i/>
          <w:iCs/>
          <w:u w:val="single"/>
          <w:lang w:val="en-GB"/>
        </w:rPr>
        <w:t xml:space="preserve"> to only Nana Addo</w:t>
      </w:r>
      <w:r w:rsidR="00CA7CB0">
        <w:rPr>
          <w:lang w:val="en-GB"/>
        </w:rPr>
        <w:t xml:space="preserve">, </w:t>
      </w:r>
      <w:r w:rsidR="00C1396F">
        <w:rPr>
          <w:lang w:val="en-GB"/>
        </w:rPr>
        <w:t>with more</w:t>
      </w:r>
      <w:r w:rsidR="000C249A" w:rsidRPr="00C1396F">
        <w:rPr>
          <w:lang w:val="en-GB"/>
        </w:rPr>
        <w:t xml:space="preserve"> </w:t>
      </w:r>
      <w:r w:rsidR="00CA7CB0">
        <w:rPr>
          <w:lang w:val="en-GB"/>
        </w:rPr>
        <w:t xml:space="preserve">flows expected </w:t>
      </w:r>
      <w:r w:rsidR="00C1396F">
        <w:rPr>
          <w:lang w:val="en-GB"/>
        </w:rPr>
        <w:t xml:space="preserve">to </w:t>
      </w:r>
      <w:r w:rsidR="000C249A" w:rsidRPr="00C1396F">
        <w:rPr>
          <w:lang w:val="en-GB"/>
        </w:rPr>
        <w:t>end-2020 to cement th</w:t>
      </w:r>
      <w:r w:rsidR="00C1396F">
        <w:rPr>
          <w:lang w:val="en-GB"/>
        </w:rPr>
        <w:t>e</w:t>
      </w:r>
      <w:r w:rsidR="000C249A" w:rsidRPr="00C1396F">
        <w:rPr>
          <w:lang w:val="en-GB"/>
        </w:rPr>
        <w:t xml:space="preserve"> </w:t>
      </w:r>
      <w:r w:rsidR="00CA7CB0" w:rsidRPr="00CA7CB0">
        <w:rPr>
          <w:i/>
          <w:iCs/>
          <w:u w:val="single"/>
          <w:lang w:val="en-GB"/>
        </w:rPr>
        <w:t xml:space="preserve">unacknowledged </w:t>
      </w:r>
      <w:r w:rsidR="008E0891" w:rsidRPr="00CA7CB0">
        <w:rPr>
          <w:i/>
          <w:iCs/>
          <w:u w:val="single"/>
          <w:lang w:val="en-GB"/>
        </w:rPr>
        <w:t>gratuity</w:t>
      </w:r>
      <w:r w:rsidR="000C249A" w:rsidRPr="00C1396F">
        <w:rPr>
          <w:lang w:val="en-GB"/>
        </w:rPr>
        <w:t>.</w:t>
      </w:r>
    </w:p>
    <w:p w14:paraId="08075C3B" w14:textId="77777777" w:rsidR="00C1396F" w:rsidRPr="00C1396F" w:rsidRDefault="00C1396F" w:rsidP="00C1396F">
      <w:pPr>
        <w:rPr>
          <w:i/>
          <w:iCs/>
          <w:u w:val="single"/>
          <w:lang w:val="en-GB"/>
        </w:rPr>
      </w:pPr>
    </w:p>
    <w:p w14:paraId="3E7267B7" w14:textId="56704F57" w:rsidR="00BF7EAE" w:rsidRPr="00BF7EAE" w:rsidRDefault="00BF7EAE" w:rsidP="00BF7EAE">
      <w:pPr>
        <w:rPr>
          <w:b/>
          <w:bCs/>
          <w:lang w:val="en-GB"/>
        </w:rPr>
      </w:pPr>
      <w:r w:rsidRPr="00BF7EAE">
        <w:rPr>
          <w:b/>
          <w:bCs/>
          <w:lang w:val="en-GB"/>
        </w:rPr>
        <w:t xml:space="preserve">Table </w:t>
      </w:r>
      <w:r w:rsidR="000008B8">
        <w:rPr>
          <w:b/>
          <w:bCs/>
          <w:lang w:val="en-GB"/>
        </w:rPr>
        <w:t>2</w:t>
      </w:r>
      <w:r w:rsidRPr="00BF7EAE">
        <w:rPr>
          <w:b/>
          <w:bCs/>
          <w:lang w:val="en-GB"/>
        </w:rPr>
        <w:t xml:space="preserve">: </w:t>
      </w:r>
      <w:r w:rsidR="007D5B66">
        <w:rPr>
          <w:b/>
          <w:bCs/>
          <w:lang w:val="en-GB"/>
        </w:rPr>
        <w:t>Share of p</w:t>
      </w:r>
      <w:r w:rsidRPr="00BF7EAE">
        <w:rPr>
          <w:b/>
          <w:bCs/>
          <w:lang w:val="en-GB"/>
        </w:rPr>
        <w:t>etroleum revenues</w:t>
      </w:r>
      <w:r w:rsidR="007D5B66">
        <w:rPr>
          <w:b/>
          <w:bCs/>
          <w:lang w:val="en-GB"/>
        </w:rPr>
        <w:t xml:space="preserve"> from 2011</w:t>
      </w:r>
    </w:p>
    <w:p w14:paraId="75254F89" w14:textId="5BBFD089" w:rsidR="00BF7EAE" w:rsidRDefault="00BF7EAE" w:rsidP="007D5B66">
      <w:pPr>
        <w:rPr>
          <w:lang w:val="en-GB"/>
        </w:rPr>
      </w:pPr>
    </w:p>
    <w:p w14:paraId="68AFF2CE" w14:textId="3C062907" w:rsidR="00AD7AFF" w:rsidRDefault="00AD7AFF" w:rsidP="007D5B66">
      <w:pPr>
        <w:rPr>
          <w:lang w:val="en-GB"/>
        </w:rPr>
      </w:pPr>
      <w:r w:rsidRPr="00AD7AFF">
        <w:rPr>
          <w:noProof/>
        </w:rPr>
        <w:drawing>
          <wp:inline distT="0" distB="0" distL="0" distR="0" wp14:anchorId="0802AAA3" wp14:editId="4803C1EC">
            <wp:extent cx="5943600" cy="1383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83E8" w14:textId="33EC07BA" w:rsidR="007B2FBF" w:rsidRDefault="00A22CFE" w:rsidP="003A44DC">
      <w:pPr>
        <w:rPr>
          <w:i/>
          <w:iCs/>
          <w:sz w:val="20"/>
          <w:szCs w:val="20"/>
          <w:lang w:val="en-GB"/>
        </w:rPr>
      </w:pPr>
      <w:r w:rsidRPr="00A22CFE">
        <w:rPr>
          <w:i/>
          <w:iCs/>
          <w:sz w:val="20"/>
          <w:szCs w:val="20"/>
          <w:lang w:val="en-GB"/>
        </w:rPr>
        <w:t>Source: Petroleum Reconciliation Report (2011 to 2019)</w:t>
      </w:r>
    </w:p>
    <w:p w14:paraId="00F14011" w14:textId="6C436820" w:rsidR="00A22CFE" w:rsidRDefault="00A22CFE" w:rsidP="003A44DC">
      <w:pPr>
        <w:rPr>
          <w:b/>
          <w:bCs/>
          <w:lang w:val="en-GB"/>
        </w:rPr>
      </w:pPr>
    </w:p>
    <w:p w14:paraId="70FE751B" w14:textId="6CDF72C9" w:rsidR="00F96C82" w:rsidRDefault="00F96C82" w:rsidP="003A44DC">
      <w:pPr>
        <w:rPr>
          <w:b/>
          <w:bCs/>
          <w:lang w:val="en-GB"/>
        </w:rPr>
      </w:pPr>
    </w:p>
    <w:p w14:paraId="53436B1A" w14:textId="77777777" w:rsidR="00F96C82" w:rsidRDefault="00F96C82" w:rsidP="003A44DC">
      <w:pPr>
        <w:rPr>
          <w:b/>
          <w:bCs/>
          <w:lang w:val="en-GB"/>
        </w:rPr>
      </w:pPr>
    </w:p>
    <w:p w14:paraId="277AA6AA" w14:textId="29C3E5AA" w:rsidR="007B2FBF" w:rsidRDefault="007B2FBF" w:rsidP="003A44DC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Figure</w:t>
      </w:r>
      <w:r w:rsidRPr="00BF7EAE">
        <w:rPr>
          <w:b/>
          <w:bCs/>
          <w:lang w:val="en-GB"/>
        </w:rPr>
        <w:t xml:space="preserve"> </w:t>
      </w:r>
      <w:r w:rsidR="009666C8">
        <w:rPr>
          <w:b/>
          <w:bCs/>
          <w:lang w:val="en-GB"/>
        </w:rPr>
        <w:t>1</w:t>
      </w:r>
      <w:r w:rsidRPr="00BF7EAE">
        <w:rPr>
          <w:b/>
          <w:bCs/>
          <w:lang w:val="en-GB"/>
        </w:rPr>
        <w:t>: Petroleum revenues from oil fields</w:t>
      </w:r>
      <w:r>
        <w:rPr>
          <w:b/>
          <w:bCs/>
          <w:lang w:val="en-GB"/>
        </w:rPr>
        <w:t xml:space="preserve"> (</w:t>
      </w:r>
      <w:r w:rsidR="009A20F5">
        <w:rPr>
          <w:b/>
          <w:bCs/>
          <w:lang w:val="en-GB"/>
        </w:rPr>
        <w:t>US$ ‘000</w:t>
      </w:r>
      <w:r>
        <w:rPr>
          <w:b/>
          <w:bCs/>
          <w:lang w:val="en-GB"/>
        </w:rPr>
        <w:t>)</w:t>
      </w:r>
    </w:p>
    <w:p w14:paraId="3AE1B91A" w14:textId="0086E05C" w:rsidR="001F38C6" w:rsidRDefault="001F38C6" w:rsidP="003A44DC">
      <w:pPr>
        <w:rPr>
          <w:b/>
          <w:bCs/>
          <w:lang w:val="en-GB"/>
        </w:rPr>
      </w:pPr>
    </w:p>
    <w:p w14:paraId="5159C897" w14:textId="7BC4AABB" w:rsidR="001F38C6" w:rsidRDefault="009A20F5" w:rsidP="003B769B">
      <w:pPr>
        <w:rPr>
          <w:b/>
          <w:bCs/>
          <w:lang w:val="en-GB"/>
        </w:rPr>
      </w:pPr>
      <w:r>
        <w:rPr>
          <w:b/>
          <w:bCs/>
          <w:noProof/>
        </w:rPr>
        <w:drawing>
          <wp:inline distT="0" distB="0" distL="0" distR="0" wp14:anchorId="4E546F65" wp14:editId="151170C2">
            <wp:extent cx="48387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B927" w14:textId="5B4E8186" w:rsidR="009A20F5" w:rsidRDefault="009A20F5" w:rsidP="003B769B">
      <w:pPr>
        <w:rPr>
          <w:b/>
          <w:bCs/>
          <w:lang w:val="en-GB"/>
        </w:rPr>
      </w:pPr>
    </w:p>
    <w:p w14:paraId="6AA5A07A" w14:textId="11F8112F" w:rsidR="009A20F5" w:rsidRDefault="009A20F5" w:rsidP="009A20F5">
      <w:pPr>
        <w:rPr>
          <w:b/>
          <w:bCs/>
          <w:lang w:val="en-GB"/>
        </w:rPr>
      </w:pPr>
      <w:r>
        <w:rPr>
          <w:b/>
          <w:bCs/>
          <w:lang w:val="en-GB"/>
        </w:rPr>
        <w:t>Figure</w:t>
      </w:r>
      <w:r w:rsidRPr="00BF7EA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</w:t>
      </w:r>
      <w:r w:rsidRPr="00BF7EAE">
        <w:rPr>
          <w:b/>
          <w:bCs/>
          <w:lang w:val="en-GB"/>
        </w:rPr>
        <w:t>: Petroleum revenues from oil fields</w:t>
      </w:r>
      <w:r>
        <w:rPr>
          <w:b/>
          <w:bCs/>
          <w:lang w:val="en-GB"/>
        </w:rPr>
        <w:t xml:space="preserve"> (% of Totals)</w:t>
      </w:r>
    </w:p>
    <w:p w14:paraId="6DCBD88E" w14:textId="5CAA4524" w:rsidR="009A20F5" w:rsidRDefault="009A20F5" w:rsidP="003B769B">
      <w:pPr>
        <w:rPr>
          <w:b/>
          <w:bCs/>
          <w:lang w:val="en-GB"/>
        </w:rPr>
      </w:pPr>
    </w:p>
    <w:p w14:paraId="0B2B5012" w14:textId="090D215A" w:rsidR="009A20F5" w:rsidRDefault="009A20F5" w:rsidP="003B769B">
      <w:pPr>
        <w:rPr>
          <w:b/>
          <w:bCs/>
          <w:lang w:val="en-GB"/>
        </w:rPr>
      </w:pPr>
      <w:r>
        <w:rPr>
          <w:b/>
          <w:bCs/>
          <w:noProof/>
        </w:rPr>
        <w:drawing>
          <wp:inline distT="0" distB="0" distL="0" distR="0" wp14:anchorId="4D31D53C" wp14:editId="3FDF10A8">
            <wp:extent cx="48387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7D6AD" w14:textId="77777777" w:rsidR="009A20F5" w:rsidRDefault="009A20F5" w:rsidP="003B769B">
      <w:pPr>
        <w:rPr>
          <w:b/>
          <w:bCs/>
          <w:lang w:val="en-GB"/>
        </w:rPr>
      </w:pPr>
    </w:p>
    <w:p w14:paraId="1809CDC2" w14:textId="7E336A2A" w:rsidR="00E54B84" w:rsidRDefault="00E54B84" w:rsidP="007B2FBF">
      <w:pPr>
        <w:pStyle w:val="ListParagraph"/>
        <w:numPr>
          <w:ilvl w:val="0"/>
          <w:numId w:val="7"/>
        </w:numPr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More</w:t>
      </w:r>
      <w:r w:rsidR="00F96C82">
        <w:rPr>
          <w:b/>
          <w:bCs/>
          <w:lang w:val="en-GB"/>
        </w:rPr>
        <w:t xml:space="preserve"> </w:t>
      </w:r>
      <w:r w:rsidR="00CA7CB0">
        <w:rPr>
          <w:b/>
          <w:bCs/>
          <w:lang w:val="en-GB"/>
        </w:rPr>
        <w:t>flows</w:t>
      </w:r>
      <w:r>
        <w:rPr>
          <w:b/>
          <w:bCs/>
          <w:lang w:val="en-GB"/>
        </w:rPr>
        <w:t xml:space="preserve"> </w:t>
      </w:r>
      <w:r w:rsidR="00B55146">
        <w:rPr>
          <w:b/>
          <w:bCs/>
          <w:lang w:val="en-GB"/>
        </w:rPr>
        <w:t>for</w:t>
      </w:r>
      <w:r>
        <w:rPr>
          <w:b/>
          <w:bCs/>
          <w:lang w:val="en-GB"/>
        </w:rPr>
        <w:t xml:space="preserve"> </w:t>
      </w:r>
      <w:r w:rsidR="00144B22">
        <w:rPr>
          <w:b/>
          <w:bCs/>
          <w:lang w:val="en-GB"/>
        </w:rPr>
        <w:t>Nana</w:t>
      </w:r>
      <w:r w:rsidR="00F96C82">
        <w:rPr>
          <w:b/>
          <w:bCs/>
          <w:lang w:val="en-GB"/>
        </w:rPr>
        <w:t xml:space="preserve"> </w:t>
      </w:r>
      <w:r w:rsidR="00CA7CB0">
        <w:rPr>
          <w:b/>
          <w:bCs/>
          <w:lang w:val="en-GB"/>
        </w:rPr>
        <w:t>(</w:t>
      </w:r>
      <w:r>
        <w:rPr>
          <w:b/>
          <w:bCs/>
          <w:lang w:val="en-GB"/>
        </w:rPr>
        <w:t>3.5 years</w:t>
      </w:r>
      <w:r w:rsidR="00CA7CB0">
        <w:rPr>
          <w:b/>
          <w:bCs/>
          <w:lang w:val="en-GB"/>
        </w:rPr>
        <w:t>)</w:t>
      </w:r>
      <w:r>
        <w:rPr>
          <w:b/>
          <w:bCs/>
          <w:lang w:val="en-GB"/>
        </w:rPr>
        <w:t xml:space="preserve"> than </w:t>
      </w:r>
      <w:r w:rsidR="0055281A" w:rsidRPr="0055281A">
        <w:rPr>
          <w:b/>
          <w:bCs/>
          <w:i/>
          <w:iCs/>
          <w:u w:val="single"/>
          <w:lang w:val="en-GB"/>
        </w:rPr>
        <w:t>combined</w:t>
      </w:r>
      <w:r w:rsidR="0055281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Mill</w:t>
      </w:r>
      <w:r w:rsidR="00144B22">
        <w:rPr>
          <w:b/>
          <w:bCs/>
          <w:lang w:val="en-GB"/>
        </w:rPr>
        <w:t>s/</w:t>
      </w:r>
      <w:r>
        <w:rPr>
          <w:b/>
          <w:bCs/>
          <w:lang w:val="en-GB"/>
        </w:rPr>
        <w:t xml:space="preserve">Mahama </w:t>
      </w:r>
      <w:r w:rsidR="00CA7CB0">
        <w:rPr>
          <w:b/>
          <w:bCs/>
          <w:lang w:val="en-GB"/>
        </w:rPr>
        <w:t>(</w:t>
      </w:r>
      <w:r>
        <w:rPr>
          <w:b/>
          <w:bCs/>
          <w:lang w:val="en-GB"/>
        </w:rPr>
        <w:t>6 years</w:t>
      </w:r>
      <w:r w:rsidR="00CA7CB0">
        <w:rPr>
          <w:b/>
          <w:bCs/>
          <w:lang w:val="en-GB"/>
        </w:rPr>
        <w:t>)</w:t>
      </w:r>
    </w:p>
    <w:p w14:paraId="693EB6DE" w14:textId="77777777" w:rsidR="00E54B84" w:rsidRDefault="00E54B84" w:rsidP="00E54B84">
      <w:pPr>
        <w:rPr>
          <w:lang w:val="en-GB"/>
        </w:rPr>
      </w:pPr>
    </w:p>
    <w:p w14:paraId="466E8098" w14:textId="6E6CDF01" w:rsidR="00E00352" w:rsidRPr="004713D5" w:rsidRDefault="00BF7EAE" w:rsidP="004713D5">
      <w:pPr>
        <w:ind w:firstLine="720"/>
        <w:rPr>
          <w:lang w:val="en-GB"/>
        </w:rPr>
      </w:pPr>
      <w:r w:rsidRPr="00DA4F09">
        <w:rPr>
          <w:lang w:val="en-GB"/>
        </w:rPr>
        <w:t xml:space="preserve">Table </w:t>
      </w:r>
      <w:r w:rsidR="004713D5" w:rsidRPr="00DA4F09">
        <w:rPr>
          <w:lang w:val="en-GB"/>
        </w:rPr>
        <w:t>3</w:t>
      </w:r>
      <w:r w:rsidR="00CA7CB0">
        <w:rPr>
          <w:lang w:val="en-GB"/>
        </w:rPr>
        <w:t>/</w:t>
      </w:r>
      <w:r w:rsidR="001379AF" w:rsidRPr="00DA4F09">
        <w:rPr>
          <w:lang w:val="en-GB"/>
        </w:rPr>
        <w:t>Figure</w:t>
      </w:r>
      <w:r w:rsidR="00CA7CB0">
        <w:rPr>
          <w:lang w:val="en-GB"/>
        </w:rPr>
        <w:t>s</w:t>
      </w:r>
      <w:r w:rsidR="001379AF" w:rsidRPr="00DA4F09">
        <w:rPr>
          <w:lang w:val="en-GB"/>
        </w:rPr>
        <w:t xml:space="preserve"> </w:t>
      </w:r>
      <w:r w:rsidR="004713D5" w:rsidRPr="00DA4F09">
        <w:rPr>
          <w:lang w:val="en-GB"/>
        </w:rPr>
        <w:t>3</w:t>
      </w:r>
      <w:r w:rsidR="00CA7CB0">
        <w:rPr>
          <w:lang w:val="en-GB"/>
        </w:rPr>
        <w:t>/4</w:t>
      </w:r>
      <w:r w:rsidRPr="00E54B84">
        <w:rPr>
          <w:lang w:val="en-GB"/>
        </w:rPr>
        <w:t xml:space="preserve"> show </w:t>
      </w:r>
      <w:r w:rsidR="00551189" w:rsidRPr="00E54B84">
        <w:rPr>
          <w:lang w:val="en-GB"/>
        </w:rPr>
        <w:t>revenues</w:t>
      </w:r>
      <w:r w:rsidR="0055281A">
        <w:rPr>
          <w:lang w:val="en-GB"/>
        </w:rPr>
        <w:t xml:space="preserve"> </w:t>
      </w:r>
      <w:r w:rsidR="00216946">
        <w:rPr>
          <w:lang w:val="en-GB"/>
        </w:rPr>
        <w:t xml:space="preserve">to economy </w:t>
      </w:r>
      <w:r w:rsidR="00CA7CB0" w:rsidRPr="00CA7CB0">
        <w:rPr>
          <w:i/>
          <w:iCs/>
          <w:u w:val="single"/>
          <w:lang w:val="en-GB"/>
        </w:rPr>
        <w:t xml:space="preserve">rising rapidly </w:t>
      </w:r>
      <w:r w:rsidR="009513B4" w:rsidRPr="00CA7CB0">
        <w:rPr>
          <w:i/>
          <w:iCs/>
          <w:u w:val="single"/>
          <w:lang w:val="en-GB"/>
        </w:rPr>
        <w:t>under N</w:t>
      </w:r>
      <w:r w:rsidR="009513B4" w:rsidRPr="00554623">
        <w:rPr>
          <w:i/>
          <w:iCs/>
          <w:u w:val="single"/>
          <w:lang w:val="en-GB"/>
        </w:rPr>
        <w:t>ana Addo</w:t>
      </w:r>
      <w:r w:rsidR="00C1396F">
        <w:rPr>
          <w:i/>
          <w:iCs/>
          <w:u w:val="single"/>
          <w:lang w:val="en-GB"/>
        </w:rPr>
        <w:t xml:space="preserve"> </w:t>
      </w:r>
      <w:r w:rsidR="00C1396F" w:rsidRPr="00DA4F09">
        <w:rPr>
          <w:b/>
          <w:bCs/>
          <w:i/>
          <w:iCs/>
          <w:u w:val="single"/>
          <w:lang w:val="en-GB"/>
        </w:rPr>
        <w:t>in</w:t>
      </w:r>
      <w:r w:rsidR="0055281A" w:rsidRPr="00DA4F09">
        <w:rPr>
          <w:b/>
          <w:bCs/>
          <w:i/>
          <w:iCs/>
          <w:u w:val="single"/>
          <w:lang w:val="en-GB"/>
        </w:rPr>
        <w:t xml:space="preserve"> 3</w:t>
      </w:r>
      <w:r w:rsidR="0055281A" w:rsidRPr="0055281A">
        <w:rPr>
          <w:b/>
          <w:bCs/>
          <w:i/>
          <w:iCs/>
          <w:u w:val="single"/>
          <w:lang w:val="en-GB"/>
        </w:rPr>
        <w:t>.5 years</w:t>
      </w:r>
      <w:r w:rsidR="0055281A">
        <w:rPr>
          <w:i/>
          <w:iCs/>
          <w:u w:val="single"/>
          <w:lang w:val="en-GB"/>
        </w:rPr>
        <w:t xml:space="preserve"> </w:t>
      </w:r>
      <w:r w:rsidR="005F458C" w:rsidRPr="00554623">
        <w:rPr>
          <w:i/>
          <w:iCs/>
          <w:u w:val="single"/>
          <w:lang w:val="en-GB"/>
        </w:rPr>
        <w:t>(</w:t>
      </w:r>
      <w:r w:rsidR="008E0891">
        <w:rPr>
          <w:i/>
          <w:iCs/>
          <w:u w:val="single"/>
          <w:lang w:val="en-GB"/>
        </w:rPr>
        <w:t xml:space="preserve">US$ </w:t>
      </w:r>
      <w:r w:rsidR="005F458C" w:rsidRPr="00554623">
        <w:rPr>
          <w:i/>
          <w:iCs/>
          <w:u w:val="single"/>
          <w:lang w:val="en-GB"/>
        </w:rPr>
        <w:t>214.2m or 56.4</w:t>
      </w:r>
      <w:r w:rsidR="00216946">
        <w:rPr>
          <w:i/>
          <w:iCs/>
          <w:u w:val="single"/>
          <w:lang w:val="en-GB"/>
        </w:rPr>
        <w:t>%</w:t>
      </w:r>
      <w:r w:rsidR="005F458C" w:rsidRPr="00554623">
        <w:rPr>
          <w:i/>
          <w:iCs/>
          <w:u w:val="single"/>
          <w:lang w:val="en-GB"/>
        </w:rPr>
        <w:t xml:space="preserve">) than the </w:t>
      </w:r>
      <w:r w:rsidR="005F458C" w:rsidRPr="00C1396F">
        <w:rPr>
          <w:b/>
          <w:bCs/>
          <w:i/>
          <w:iCs/>
          <w:u w:val="single"/>
          <w:lang w:val="en-GB"/>
        </w:rPr>
        <w:t>combined</w:t>
      </w:r>
      <w:r w:rsidR="005F458C" w:rsidRPr="00554623">
        <w:rPr>
          <w:i/>
          <w:iCs/>
          <w:u w:val="single"/>
          <w:lang w:val="en-GB"/>
        </w:rPr>
        <w:t xml:space="preserve"> flows </w:t>
      </w:r>
      <w:r w:rsidR="00C1396F">
        <w:rPr>
          <w:i/>
          <w:iCs/>
          <w:u w:val="single"/>
          <w:lang w:val="en-GB"/>
        </w:rPr>
        <w:t>for</w:t>
      </w:r>
      <w:r w:rsidR="005F458C" w:rsidRPr="00554623">
        <w:rPr>
          <w:i/>
          <w:iCs/>
          <w:u w:val="single"/>
          <w:lang w:val="en-GB"/>
        </w:rPr>
        <w:t xml:space="preserve"> Mills/Mahama (</w:t>
      </w:r>
      <w:r w:rsidR="008E0891">
        <w:rPr>
          <w:i/>
          <w:iCs/>
          <w:u w:val="single"/>
          <w:lang w:val="en-GB"/>
        </w:rPr>
        <w:t xml:space="preserve">US$ </w:t>
      </w:r>
      <w:r w:rsidR="005F458C" w:rsidRPr="00554623">
        <w:rPr>
          <w:i/>
          <w:iCs/>
          <w:u w:val="single"/>
          <w:lang w:val="en-GB"/>
        </w:rPr>
        <w:t>165.6</w:t>
      </w:r>
      <w:r w:rsidR="00216946">
        <w:rPr>
          <w:i/>
          <w:iCs/>
          <w:u w:val="single"/>
          <w:lang w:val="en-GB"/>
        </w:rPr>
        <w:t>m</w:t>
      </w:r>
      <w:r w:rsidR="005F458C" w:rsidRPr="00554623">
        <w:rPr>
          <w:i/>
          <w:iCs/>
          <w:u w:val="single"/>
          <w:lang w:val="en-GB"/>
        </w:rPr>
        <w:t xml:space="preserve"> </w:t>
      </w:r>
      <w:r w:rsidR="00554623" w:rsidRPr="00554623">
        <w:rPr>
          <w:i/>
          <w:iCs/>
          <w:u w:val="single"/>
          <w:lang w:val="en-GB"/>
        </w:rPr>
        <w:t xml:space="preserve">or </w:t>
      </w:r>
      <w:r w:rsidR="00554623" w:rsidRPr="005D2520">
        <w:rPr>
          <w:i/>
          <w:iCs/>
          <w:u w:val="single"/>
          <w:lang w:val="en-GB"/>
        </w:rPr>
        <w:t>43.6</w:t>
      </w:r>
      <w:r w:rsidR="00216946" w:rsidRPr="005D2520">
        <w:rPr>
          <w:i/>
          <w:iCs/>
          <w:u w:val="single"/>
          <w:lang w:val="en-GB"/>
        </w:rPr>
        <w:t>%</w:t>
      </w:r>
      <w:r w:rsidR="00554623" w:rsidRPr="005D2520">
        <w:rPr>
          <w:i/>
          <w:iCs/>
          <w:u w:val="single"/>
          <w:lang w:val="en-GB"/>
        </w:rPr>
        <w:t>)</w:t>
      </w:r>
      <w:r w:rsidR="0055281A" w:rsidRPr="005D2520">
        <w:rPr>
          <w:i/>
          <w:iCs/>
          <w:u w:val="single"/>
          <w:lang w:val="en-GB"/>
        </w:rPr>
        <w:t xml:space="preserve"> in 6 years</w:t>
      </w:r>
      <w:r w:rsidR="00AE307C" w:rsidRPr="00E54B84">
        <w:rPr>
          <w:lang w:val="en-GB"/>
        </w:rPr>
        <w:t>.</w:t>
      </w:r>
      <w:r w:rsidR="005D2520">
        <w:rPr>
          <w:lang w:val="en-GB"/>
        </w:rPr>
        <w:t xml:space="preserve"> Even </w:t>
      </w:r>
      <w:r w:rsidR="005D2520" w:rsidRPr="005D2520">
        <w:rPr>
          <w:i/>
          <w:iCs/>
          <w:u w:val="single"/>
          <w:lang w:val="en-GB"/>
        </w:rPr>
        <w:t xml:space="preserve">with Jubilee (2011), Nana Addo has earned 37.9 percent of the revenue against 62.1 percent for Mills/Mahama </w:t>
      </w:r>
      <w:r w:rsidR="005D2520" w:rsidRPr="005D2520">
        <w:rPr>
          <w:b/>
          <w:bCs/>
          <w:i/>
          <w:iCs/>
          <w:u w:val="single"/>
          <w:lang w:val="en-GB"/>
        </w:rPr>
        <w:t>combined</w:t>
      </w:r>
      <w:r w:rsidR="005D2520">
        <w:rPr>
          <w:lang w:val="en-GB"/>
        </w:rPr>
        <w:t>.</w:t>
      </w:r>
    </w:p>
    <w:p w14:paraId="3BB4A2A8" w14:textId="22A55073" w:rsidR="003B769B" w:rsidRDefault="003B769B" w:rsidP="00E54B84">
      <w:pPr>
        <w:rPr>
          <w:b/>
          <w:bCs/>
          <w:lang w:val="en-GB"/>
        </w:rPr>
      </w:pPr>
    </w:p>
    <w:p w14:paraId="70E30181" w14:textId="14D70EC3" w:rsidR="005F458C" w:rsidRPr="000B22B0" w:rsidRDefault="005F458C" w:rsidP="00E54B84">
      <w:pPr>
        <w:rPr>
          <w:b/>
          <w:bCs/>
          <w:sz w:val="22"/>
          <w:szCs w:val="22"/>
          <w:lang w:val="en-GB"/>
        </w:rPr>
      </w:pPr>
      <w:r w:rsidRPr="000B22B0">
        <w:rPr>
          <w:b/>
          <w:bCs/>
          <w:sz w:val="22"/>
          <w:szCs w:val="22"/>
          <w:lang w:val="en-GB"/>
        </w:rPr>
        <w:t xml:space="preserve">Table </w:t>
      </w:r>
      <w:r w:rsidR="00727905">
        <w:rPr>
          <w:b/>
          <w:bCs/>
          <w:sz w:val="22"/>
          <w:szCs w:val="22"/>
          <w:lang w:val="en-GB"/>
        </w:rPr>
        <w:t>3</w:t>
      </w:r>
      <w:r w:rsidRPr="000B22B0">
        <w:rPr>
          <w:b/>
          <w:bCs/>
          <w:sz w:val="22"/>
          <w:szCs w:val="22"/>
          <w:lang w:val="en-GB"/>
        </w:rPr>
        <w:t>: Combined Mills/Mahama versus Nana Addo flows</w:t>
      </w:r>
    </w:p>
    <w:p w14:paraId="00D337AB" w14:textId="77777777" w:rsidR="005F458C" w:rsidRDefault="005F458C" w:rsidP="00E54B84">
      <w:pPr>
        <w:rPr>
          <w:lang w:val="en-GB"/>
        </w:rPr>
      </w:pPr>
    </w:p>
    <w:p w14:paraId="46B9B476" w14:textId="7A4BD728" w:rsidR="005F458C" w:rsidRDefault="00C43A79" w:rsidP="00E54B84">
      <w:pPr>
        <w:rPr>
          <w:lang w:val="en-GB"/>
        </w:rPr>
      </w:pPr>
      <w:r w:rsidRPr="00C43A79">
        <w:rPr>
          <w:noProof/>
        </w:rPr>
        <w:drawing>
          <wp:inline distT="0" distB="0" distL="0" distR="0" wp14:anchorId="38581ACE" wp14:editId="3A665920">
            <wp:extent cx="5943600" cy="121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554D" w14:textId="51F03C42" w:rsidR="000F6CCF" w:rsidRDefault="00A22CFE" w:rsidP="00E54B84">
      <w:pPr>
        <w:rPr>
          <w:b/>
          <w:bCs/>
          <w:sz w:val="22"/>
          <w:szCs w:val="22"/>
          <w:lang w:val="en-GB"/>
        </w:rPr>
      </w:pPr>
      <w:r w:rsidRPr="00A22CFE">
        <w:rPr>
          <w:i/>
          <w:iCs/>
          <w:sz w:val="20"/>
          <w:szCs w:val="20"/>
          <w:lang w:val="en-GB"/>
        </w:rPr>
        <w:t>Source: Petroleum Reconciliation Report (2011 to 2019)</w:t>
      </w:r>
    </w:p>
    <w:p w14:paraId="07A40DA4" w14:textId="55AA8974" w:rsidR="004713D5" w:rsidRPr="00727905" w:rsidRDefault="00727905" w:rsidP="00E54B84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Figure</w:t>
      </w:r>
      <w:r w:rsidRPr="000B22B0">
        <w:rPr>
          <w:b/>
          <w:bCs/>
          <w:sz w:val="22"/>
          <w:szCs w:val="22"/>
          <w:lang w:val="en-GB"/>
        </w:rPr>
        <w:t xml:space="preserve"> </w:t>
      </w:r>
      <w:r w:rsidR="009A20F5">
        <w:rPr>
          <w:b/>
          <w:bCs/>
          <w:sz w:val="22"/>
          <w:szCs w:val="22"/>
          <w:lang w:val="en-GB"/>
        </w:rPr>
        <w:t>3</w:t>
      </w:r>
      <w:r w:rsidRPr="000B22B0">
        <w:rPr>
          <w:b/>
          <w:bCs/>
          <w:sz w:val="22"/>
          <w:szCs w:val="22"/>
          <w:lang w:val="en-GB"/>
        </w:rPr>
        <w:t>: Combined Mills/Mahama versus Nana Addo flows</w:t>
      </w:r>
    </w:p>
    <w:p w14:paraId="266194AE" w14:textId="77777777" w:rsidR="004231BF" w:rsidRDefault="004231BF" w:rsidP="00E00352">
      <w:pPr>
        <w:rPr>
          <w:lang w:val="en-GB"/>
        </w:rPr>
      </w:pPr>
    </w:p>
    <w:p w14:paraId="6F50EFC6" w14:textId="0BF8DD52" w:rsidR="004231BF" w:rsidRDefault="009A20F5" w:rsidP="00E00352">
      <w:pPr>
        <w:rPr>
          <w:lang w:val="en-GB"/>
        </w:rPr>
      </w:pPr>
      <w:r>
        <w:rPr>
          <w:noProof/>
        </w:rPr>
        <w:drawing>
          <wp:inline distT="0" distB="0" distL="0" distR="0" wp14:anchorId="654F3A46" wp14:editId="7C27907C">
            <wp:extent cx="4876800" cy="20097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DDD16DE-CE8A-4C5B-BD64-03C194D50A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D31217" w14:textId="10DEBA02" w:rsidR="004231BF" w:rsidRDefault="004231BF" w:rsidP="00E00352">
      <w:pPr>
        <w:rPr>
          <w:lang w:val="en-GB"/>
        </w:rPr>
      </w:pPr>
    </w:p>
    <w:p w14:paraId="4B92A250" w14:textId="18622F0B" w:rsidR="00F96C82" w:rsidRDefault="009A20F5" w:rsidP="00E00352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Figure</w:t>
      </w:r>
      <w:r w:rsidRPr="000B22B0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4</w:t>
      </w:r>
      <w:r w:rsidRPr="000B22B0">
        <w:rPr>
          <w:b/>
          <w:bCs/>
          <w:sz w:val="22"/>
          <w:szCs w:val="22"/>
          <w:lang w:val="en-GB"/>
        </w:rPr>
        <w:t>: Combined Mills/Mahama versus Nana Addo flows</w:t>
      </w:r>
    </w:p>
    <w:p w14:paraId="1393A71F" w14:textId="227F059D" w:rsidR="009A20F5" w:rsidRDefault="009A20F5" w:rsidP="00E00352">
      <w:pPr>
        <w:rPr>
          <w:b/>
          <w:bCs/>
          <w:sz w:val="22"/>
          <w:szCs w:val="22"/>
          <w:lang w:val="en-GB"/>
        </w:rPr>
      </w:pPr>
    </w:p>
    <w:p w14:paraId="7E071818" w14:textId="46188055" w:rsidR="009A20F5" w:rsidRDefault="009A20F5" w:rsidP="00E00352">
      <w:pPr>
        <w:rPr>
          <w:lang w:val="en-GB"/>
        </w:rPr>
      </w:pPr>
      <w:r>
        <w:rPr>
          <w:noProof/>
        </w:rPr>
        <w:drawing>
          <wp:inline distT="0" distB="0" distL="0" distR="0" wp14:anchorId="48B2A883" wp14:editId="3F144BF1">
            <wp:extent cx="4876800" cy="2097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8AA33" w14:textId="08361237" w:rsidR="00F96C82" w:rsidRDefault="00F96C82" w:rsidP="00E00352">
      <w:pPr>
        <w:rPr>
          <w:lang w:val="en-GB"/>
        </w:rPr>
      </w:pPr>
    </w:p>
    <w:p w14:paraId="0380331D" w14:textId="400A96A5" w:rsidR="00554623" w:rsidRPr="00C81E43" w:rsidRDefault="00B55146" w:rsidP="00554623">
      <w:pPr>
        <w:pStyle w:val="ListParagraph"/>
        <w:numPr>
          <w:ilvl w:val="0"/>
          <w:numId w:val="7"/>
        </w:numPr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Nana Addo</w:t>
      </w:r>
      <w:r w:rsidR="005D2520">
        <w:rPr>
          <w:b/>
          <w:bCs/>
          <w:lang w:val="en-GB"/>
        </w:rPr>
        <w:t xml:space="preserve"> has</w:t>
      </w:r>
      <w:r>
        <w:rPr>
          <w:b/>
          <w:bCs/>
          <w:lang w:val="en-GB"/>
        </w:rPr>
        <w:t xml:space="preserve"> </w:t>
      </w:r>
      <w:r w:rsidR="006963EF">
        <w:rPr>
          <w:b/>
          <w:bCs/>
          <w:lang w:val="en-GB"/>
        </w:rPr>
        <w:t>highest</w:t>
      </w:r>
      <w:r w:rsidR="00C43A79">
        <w:rPr>
          <w:b/>
          <w:bCs/>
          <w:lang w:val="en-GB"/>
        </w:rPr>
        <w:t xml:space="preserve"> </w:t>
      </w:r>
      <w:r w:rsidR="00216946">
        <w:rPr>
          <w:b/>
          <w:bCs/>
          <w:lang w:val="en-GB"/>
        </w:rPr>
        <w:t>pre-COVID-19 SWF/Budget</w:t>
      </w:r>
      <w:r w:rsidR="00D42D61">
        <w:rPr>
          <w:b/>
          <w:bCs/>
          <w:lang w:val="en-GB"/>
        </w:rPr>
        <w:t xml:space="preserve"> </w:t>
      </w:r>
      <w:r w:rsidR="00216946">
        <w:rPr>
          <w:b/>
          <w:bCs/>
          <w:lang w:val="en-GB"/>
        </w:rPr>
        <w:t>flows</w:t>
      </w:r>
    </w:p>
    <w:p w14:paraId="68FD9923" w14:textId="5436AC8A" w:rsidR="00AD649E" w:rsidRDefault="00727905" w:rsidP="00C81E43">
      <w:pPr>
        <w:ind w:firstLine="720"/>
        <w:rPr>
          <w:lang w:val="en-GB"/>
        </w:rPr>
      </w:pPr>
      <w:r>
        <w:rPr>
          <w:lang w:val="en-GB"/>
        </w:rPr>
        <w:t>T</w:t>
      </w:r>
      <w:r w:rsidR="00E83D2C">
        <w:rPr>
          <w:lang w:val="en-GB"/>
        </w:rPr>
        <w:t xml:space="preserve">he PRMA </w:t>
      </w:r>
      <w:r>
        <w:rPr>
          <w:lang w:val="en-GB"/>
        </w:rPr>
        <w:t xml:space="preserve">allocates </w:t>
      </w:r>
      <w:r w:rsidR="00216946">
        <w:rPr>
          <w:lang w:val="en-GB"/>
        </w:rPr>
        <w:t>all</w:t>
      </w:r>
      <w:r w:rsidR="00E83D2C">
        <w:rPr>
          <w:lang w:val="en-GB"/>
        </w:rPr>
        <w:t xml:space="preserve"> </w:t>
      </w:r>
      <w:r>
        <w:rPr>
          <w:lang w:val="en-GB"/>
        </w:rPr>
        <w:t>oil</w:t>
      </w:r>
      <w:r w:rsidR="00946D5C">
        <w:rPr>
          <w:lang w:val="en-GB"/>
        </w:rPr>
        <w:t>/</w:t>
      </w:r>
      <w:r>
        <w:rPr>
          <w:lang w:val="en-GB"/>
        </w:rPr>
        <w:t xml:space="preserve">gas </w:t>
      </w:r>
      <w:r w:rsidR="00E83D2C">
        <w:rPr>
          <w:lang w:val="en-GB"/>
        </w:rPr>
        <w:t>revenue</w:t>
      </w:r>
      <w:r>
        <w:rPr>
          <w:lang w:val="en-GB"/>
        </w:rPr>
        <w:t>s</w:t>
      </w:r>
      <w:r w:rsidR="00E83D2C">
        <w:rPr>
          <w:lang w:val="en-GB"/>
        </w:rPr>
        <w:t xml:space="preserve"> </w:t>
      </w:r>
      <w:r w:rsidR="006B554D">
        <w:rPr>
          <w:lang w:val="en-GB"/>
        </w:rPr>
        <w:t xml:space="preserve">to </w:t>
      </w:r>
      <w:r w:rsidR="00E83D2C">
        <w:rPr>
          <w:lang w:val="en-GB"/>
        </w:rPr>
        <w:t xml:space="preserve">the Budget (ABFA), Stabilization, and Heritage Funds—after </w:t>
      </w:r>
      <w:r w:rsidR="00A34EDF">
        <w:rPr>
          <w:lang w:val="en-GB"/>
        </w:rPr>
        <w:t xml:space="preserve">approval of </w:t>
      </w:r>
      <w:r w:rsidR="00216946">
        <w:rPr>
          <w:lang w:val="en-GB"/>
        </w:rPr>
        <w:t xml:space="preserve">GNPC’s </w:t>
      </w:r>
      <w:r w:rsidR="00A34EDF">
        <w:rPr>
          <w:lang w:val="en-GB"/>
        </w:rPr>
        <w:t>share by</w:t>
      </w:r>
      <w:r>
        <w:rPr>
          <w:lang w:val="en-GB"/>
        </w:rPr>
        <w:t xml:space="preserve"> </w:t>
      </w:r>
      <w:r w:rsidR="00A34EDF">
        <w:rPr>
          <w:lang w:val="en-GB"/>
        </w:rPr>
        <w:t>Parliament</w:t>
      </w:r>
      <w:r w:rsidR="00E83D2C">
        <w:rPr>
          <w:lang w:val="en-GB"/>
        </w:rPr>
        <w:t>.</w:t>
      </w:r>
      <w:r w:rsidR="00414C3A">
        <w:rPr>
          <w:lang w:val="en-GB"/>
        </w:rPr>
        <w:t xml:space="preserve"> </w:t>
      </w:r>
      <w:r w:rsidR="00414C3A" w:rsidRPr="00720105">
        <w:rPr>
          <w:lang w:val="en-GB"/>
        </w:rPr>
        <w:t xml:space="preserve">Table </w:t>
      </w:r>
      <w:r w:rsidR="00720105">
        <w:rPr>
          <w:lang w:val="en-GB"/>
        </w:rPr>
        <w:t>4</w:t>
      </w:r>
      <w:r w:rsidR="00216946">
        <w:rPr>
          <w:b/>
          <w:bCs/>
          <w:lang w:val="en-GB"/>
        </w:rPr>
        <w:t>/</w:t>
      </w:r>
      <w:r w:rsidR="00F96C82">
        <w:rPr>
          <w:lang w:val="en-GB"/>
        </w:rPr>
        <w:t xml:space="preserve">Figure </w:t>
      </w:r>
      <w:r w:rsidR="00720105">
        <w:rPr>
          <w:lang w:val="en-GB"/>
        </w:rPr>
        <w:t>5</w:t>
      </w:r>
      <w:r w:rsidR="00F96C82">
        <w:rPr>
          <w:lang w:val="en-GB"/>
        </w:rPr>
        <w:t xml:space="preserve"> s</w:t>
      </w:r>
      <w:r w:rsidR="00414C3A">
        <w:rPr>
          <w:lang w:val="en-GB"/>
        </w:rPr>
        <w:t xml:space="preserve">how </w:t>
      </w:r>
      <w:r w:rsidR="00F96C82">
        <w:rPr>
          <w:lang w:val="en-GB"/>
        </w:rPr>
        <w:t>the</w:t>
      </w:r>
      <w:r w:rsidR="00414C3A">
        <w:rPr>
          <w:lang w:val="en-GB"/>
        </w:rPr>
        <w:t xml:space="preserve"> </w:t>
      </w:r>
      <w:r w:rsidR="00F96C82" w:rsidRPr="00BC5D39">
        <w:rPr>
          <w:i/>
          <w:iCs/>
          <w:u w:val="single"/>
          <w:lang w:val="en-GB"/>
        </w:rPr>
        <w:t>estimate</w:t>
      </w:r>
      <w:r w:rsidR="00F96C82">
        <w:rPr>
          <w:i/>
          <w:iCs/>
          <w:u w:val="single"/>
          <w:lang w:val="en-GB"/>
        </w:rPr>
        <w:t>s</w:t>
      </w:r>
      <w:r w:rsidR="00F96C82" w:rsidRPr="00BC5D39">
        <w:rPr>
          <w:i/>
          <w:iCs/>
          <w:u w:val="single"/>
          <w:lang w:val="en-GB"/>
        </w:rPr>
        <w:t>, actual</w:t>
      </w:r>
      <w:r w:rsidR="00F96C82">
        <w:rPr>
          <w:i/>
          <w:iCs/>
          <w:u w:val="single"/>
          <w:lang w:val="en-GB"/>
        </w:rPr>
        <w:t>s,</w:t>
      </w:r>
      <w:r w:rsidR="00F96C82" w:rsidRPr="00BC5D39">
        <w:rPr>
          <w:i/>
          <w:iCs/>
          <w:u w:val="single"/>
          <w:lang w:val="en-GB"/>
        </w:rPr>
        <w:t xml:space="preserve"> and deviations</w:t>
      </w:r>
      <w:r w:rsidR="00F96C82">
        <w:rPr>
          <w:lang w:val="en-GB"/>
        </w:rPr>
        <w:t xml:space="preserve"> </w:t>
      </w:r>
      <w:r w:rsidR="00414C3A">
        <w:rPr>
          <w:lang w:val="en-GB"/>
        </w:rPr>
        <w:t>for HE Mills, Mahama, and Nana Addo</w:t>
      </w:r>
      <w:r w:rsidR="00F96C82">
        <w:rPr>
          <w:lang w:val="en-GB"/>
        </w:rPr>
        <w:t>, with</w:t>
      </w:r>
      <w:r w:rsidR="00414C3A">
        <w:rPr>
          <w:lang w:val="en-GB"/>
        </w:rPr>
        <w:t xml:space="preserve"> </w:t>
      </w:r>
      <w:r w:rsidR="00414C3A" w:rsidRPr="006871DB">
        <w:rPr>
          <w:i/>
          <w:iCs/>
          <w:u w:val="single"/>
          <w:lang w:val="en-GB"/>
        </w:rPr>
        <w:t>Mahama</w:t>
      </w:r>
      <w:r w:rsidR="00414C3A">
        <w:rPr>
          <w:i/>
          <w:iCs/>
          <w:u w:val="single"/>
          <w:lang w:val="en-GB"/>
        </w:rPr>
        <w:t xml:space="preserve"> </w:t>
      </w:r>
      <w:r w:rsidR="00414C3A" w:rsidRPr="006871DB">
        <w:rPr>
          <w:i/>
          <w:iCs/>
          <w:u w:val="single"/>
          <w:lang w:val="en-GB"/>
        </w:rPr>
        <w:t>suffer</w:t>
      </w:r>
      <w:r w:rsidR="00F96C82">
        <w:rPr>
          <w:i/>
          <w:iCs/>
          <w:u w:val="single"/>
          <w:lang w:val="en-GB"/>
        </w:rPr>
        <w:t>ing</w:t>
      </w:r>
      <w:r w:rsidR="00414C3A" w:rsidRPr="006871DB">
        <w:rPr>
          <w:i/>
          <w:iCs/>
          <w:u w:val="single"/>
          <w:lang w:val="en-GB"/>
        </w:rPr>
        <w:t xml:space="preserve"> </w:t>
      </w:r>
      <w:r w:rsidR="00414C3A">
        <w:rPr>
          <w:i/>
          <w:iCs/>
          <w:u w:val="single"/>
          <w:lang w:val="en-GB"/>
        </w:rPr>
        <w:t xml:space="preserve">the </w:t>
      </w:r>
      <w:r w:rsidR="00414C3A" w:rsidRPr="006871DB">
        <w:rPr>
          <w:i/>
          <w:iCs/>
          <w:u w:val="single"/>
          <w:lang w:val="en-GB"/>
        </w:rPr>
        <w:t xml:space="preserve">worst </w:t>
      </w:r>
      <w:r w:rsidR="00F96C82">
        <w:rPr>
          <w:i/>
          <w:iCs/>
          <w:u w:val="single"/>
          <w:lang w:val="en-GB"/>
        </w:rPr>
        <w:t>decline</w:t>
      </w:r>
      <w:r w:rsidR="00414C3A" w:rsidRPr="006871DB">
        <w:rPr>
          <w:i/>
          <w:iCs/>
          <w:u w:val="single"/>
          <w:lang w:val="en-GB"/>
        </w:rPr>
        <w:t xml:space="preserve"> </w:t>
      </w:r>
      <w:r w:rsidR="00414C3A">
        <w:rPr>
          <w:i/>
          <w:iCs/>
          <w:u w:val="single"/>
          <w:lang w:val="en-GB"/>
        </w:rPr>
        <w:t xml:space="preserve">under the PRMA’s </w:t>
      </w:r>
      <w:r w:rsidR="00216946">
        <w:rPr>
          <w:i/>
          <w:iCs/>
          <w:u w:val="single"/>
          <w:lang w:val="en-GB"/>
        </w:rPr>
        <w:t>compulsory</w:t>
      </w:r>
      <w:r w:rsidR="00414C3A">
        <w:rPr>
          <w:i/>
          <w:iCs/>
          <w:u w:val="single"/>
          <w:lang w:val="en-GB"/>
        </w:rPr>
        <w:t xml:space="preserve"> estimation rules</w:t>
      </w:r>
      <w:r w:rsidR="00414C3A">
        <w:rPr>
          <w:lang w:val="en-GB"/>
        </w:rPr>
        <w:t>.</w:t>
      </w:r>
    </w:p>
    <w:p w14:paraId="7DABCE00" w14:textId="3B255E63" w:rsidR="00414C3A" w:rsidRDefault="00414C3A" w:rsidP="00AD649E">
      <w:pPr>
        <w:ind w:firstLine="720"/>
        <w:rPr>
          <w:lang w:val="en-GB"/>
        </w:rPr>
      </w:pPr>
      <w:r>
        <w:rPr>
          <w:lang w:val="en-GB"/>
        </w:rPr>
        <w:t>Th</w:t>
      </w:r>
      <w:r w:rsidR="00F96C82">
        <w:rPr>
          <w:lang w:val="en-GB"/>
        </w:rPr>
        <w:t xml:space="preserve">e causes </w:t>
      </w:r>
      <w:r w:rsidR="00A34EDF">
        <w:rPr>
          <w:lang w:val="en-GB"/>
        </w:rPr>
        <w:t xml:space="preserve">of the sharp decline </w:t>
      </w:r>
      <w:r w:rsidR="00F96C82">
        <w:rPr>
          <w:lang w:val="en-GB"/>
        </w:rPr>
        <w:t>are</w:t>
      </w:r>
      <w:r>
        <w:rPr>
          <w:lang w:val="en-GB"/>
        </w:rPr>
        <w:t xml:space="preserve"> </w:t>
      </w:r>
      <w:r w:rsidRPr="007078B3">
        <w:rPr>
          <w:i/>
          <w:iCs/>
          <w:u w:val="single"/>
          <w:lang w:val="en-GB"/>
        </w:rPr>
        <w:t>sharp crude oil price</w:t>
      </w:r>
      <w:r w:rsidR="00F96C82">
        <w:rPr>
          <w:i/>
          <w:iCs/>
          <w:u w:val="single"/>
          <w:lang w:val="en-GB"/>
        </w:rPr>
        <w:t xml:space="preserve"> fall</w:t>
      </w:r>
      <w:r w:rsidR="00216946">
        <w:rPr>
          <w:i/>
          <w:iCs/>
          <w:u w:val="single"/>
          <w:lang w:val="en-GB"/>
        </w:rPr>
        <w:t>s</w:t>
      </w:r>
      <w:r>
        <w:rPr>
          <w:i/>
          <w:iCs/>
          <w:u w:val="single"/>
          <w:lang w:val="en-GB"/>
        </w:rPr>
        <w:t xml:space="preserve"> and damage to the </w:t>
      </w:r>
      <w:r w:rsidR="00216946">
        <w:rPr>
          <w:i/>
          <w:iCs/>
          <w:u w:val="single"/>
          <w:lang w:val="en-GB"/>
        </w:rPr>
        <w:t xml:space="preserve">Jubilee FPSO </w:t>
      </w:r>
      <w:r>
        <w:rPr>
          <w:i/>
          <w:iCs/>
          <w:u w:val="single"/>
          <w:lang w:val="en-GB"/>
        </w:rPr>
        <w:t>turret bearing. While the</w:t>
      </w:r>
      <w:r w:rsidR="00F96C82">
        <w:rPr>
          <w:i/>
          <w:iCs/>
          <w:u w:val="single"/>
          <w:lang w:val="en-GB"/>
        </w:rPr>
        <w:t>y</w:t>
      </w:r>
      <w:r>
        <w:rPr>
          <w:i/>
          <w:iCs/>
          <w:u w:val="single"/>
          <w:lang w:val="en-GB"/>
        </w:rPr>
        <w:t xml:space="preserve"> reduced crude and gas output</w:t>
      </w:r>
      <w:r>
        <w:rPr>
          <w:lang w:val="en-GB"/>
        </w:rPr>
        <w:t xml:space="preserve"> from late-2014 to 2016,</w:t>
      </w:r>
      <w:r w:rsidRPr="00D97910">
        <w:rPr>
          <w:lang w:val="en-GB"/>
        </w:rPr>
        <w:t xml:space="preserve"> </w:t>
      </w:r>
      <w:r>
        <w:rPr>
          <w:i/>
          <w:iCs/>
          <w:u w:val="single"/>
          <w:lang w:val="en-GB"/>
        </w:rPr>
        <w:t>f</w:t>
      </w:r>
      <w:r w:rsidRPr="006871DB">
        <w:rPr>
          <w:i/>
          <w:iCs/>
          <w:u w:val="single"/>
          <w:lang w:val="en-GB"/>
        </w:rPr>
        <w:t>ortuitous</w:t>
      </w:r>
      <w:r>
        <w:rPr>
          <w:i/>
          <w:iCs/>
          <w:u w:val="single"/>
          <w:lang w:val="en-GB"/>
        </w:rPr>
        <w:t>ly, the</w:t>
      </w:r>
      <w:r w:rsidRPr="006871DB">
        <w:rPr>
          <w:i/>
          <w:iCs/>
          <w:u w:val="single"/>
          <w:lang w:val="en-GB"/>
        </w:rPr>
        <w:t xml:space="preserve"> </w:t>
      </w:r>
      <w:r>
        <w:rPr>
          <w:i/>
          <w:iCs/>
          <w:u w:val="single"/>
          <w:lang w:val="en-GB"/>
        </w:rPr>
        <w:t xml:space="preserve">price and output recoveries </w:t>
      </w:r>
      <w:r w:rsidR="00216946">
        <w:rPr>
          <w:i/>
          <w:iCs/>
          <w:u w:val="single"/>
          <w:lang w:val="en-GB"/>
        </w:rPr>
        <w:t>started</w:t>
      </w:r>
      <w:r w:rsidR="00F96C82">
        <w:rPr>
          <w:i/>
          <w:iCs/>
          <w:u w:val="single"/>
          <w:lang w:val="en-GB"/>
        </w:rPr>
        <w:t xml:space="preserve"> </w:t>
      </w:r>
      <w:r w:rsidRPr="006871DB">
        <w:rPr>
          <w:i/>
          <w:iCs/>
          <w:u w:val="single"/>
          <w:lang w:val="en-GB"/>
        </w:rPr>
        <w:t>from 2017</w:t>
      </w:r>
      <w:r>
        <w:rPr>
          <w:lang w:val="en-GB"/>
        </w:rPr>
        <w:t>.</w:t>
      </w:r>
    </w:p>
    <w:p w14:paraId="430ACA5D" w14:textId="08B2350B" w:rsidR="00414C3A" w:rsidRDefault="00414C3A" w:rsidP="009A20F5">
      <w:pPr>
        <w:rPr>
          <w:lang w:val="en-GB"/>
        </w:rPr>
      </w:pPr>
    </w:p>
    <w:p w14:paraId="37A9AE54" w14:textId="0391A35D" w:rsidR="009A20F5" w:rsidRDefault="009A20F5" w:rsidP="009A20F5">
      <w:pPr>
        <w:rPr>
          <w:lang w:val="en-GB"/>
        </w:rPr>
      </w:pPr>
    </w:p>
    <w:p w14:paraId="0534C7E8" w14:textId="54E5CDB2" w:rsidR="009A20F5" w:rsidRDefault="009A20F5" w:rsidP="009A20F5">
      <w:pPr>
        <w:rPr>
          <w:lang w:val="en-GB"/>
        </w:rPr>
      </w:pPr>
    </w:p>
    <w:p w14:paraId="0F110B45" w14:textId="5094EE40" w:rsidR="009A20F5" w:rsidRDefault="009A20F5" w:rsidP="009A20F5">
      <w:pPr>
        <w:rPr>
          <w:lang w:val="en-GB"/>
        </w:rPr>
      </w:pPr>
    </w:p>
    <w:p w14:paraId="7C84EDC1" w14:textId="77777777" w:rsidR="00216946" w:rsidRDefault="00216946" w:rsidP="009A20F5">
      <w:pPr>
        <w:rPr>
          <w:lang w:val="en-GB"/>
        </w:rPr>
      </w:pPr>
    </w:p>
    <w:p w14:paraId="7E3D56FD" w14:textId="123F30F5" w:rsidR="009A20F5" w:rsidRDefault="009A20F5" w:rsidP="009A20F5">
      <w:pPr>
        <w:rPr>
          <w:lang w:val="en-GB"/>
        </w:rPr>
      </w:pPr>
    </w:p>
    <w:p w14:paraId="1D45E306" w14:textId="77777777" w:rsidR="009A20F5" w:rsidRDefault="009A20F5" w:rsidP="009A20F5">
      <w:pPr>
        <w:rPr>
          <w:lang w:val="en-GB"/>
        </w:rPr>
      </w:pPr>
    </w:p>
    <w:p w14:paraId="10022F13" w14:textId="7465ABAE" w:rsidR="00414C3A" w:rsidRPr="006871DB" w:rsidRDefault="00414C3A" w:rsidP="00414C3A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Tab</w:t>
      </w:r>
      <w:r w:rsidRPr="006871DB">
        <w:rPr>
          <w:b/>
          <w:bCs/>
          <w:lang w:val="en-GB"/>
        </w:rPr>
        <w:t xml:space="preserve">le </w:t>
      </w:r>
      <w:r w:rsidR="009666C8">
        <w:rPr>
          <w:b/>
          <w:bCs/>
          <w:lang w:val="en-GB"/>
        </w:rPr>
        <w:t>4</w:t>
      </w:r>
      <w:r w:rsidRPr="006871DB">
        <w:rPr>
          <w:b/>
          <w:bCs/>
          <w:lang w:val="en-GB"/>
        </w:rPr>
        <w:t>: Petroleum revenue flows to the Budget</w:t>
      </w:r>
    </w:p>
    <w:p w14:paraId="3ED4A4D9" w14:textId="77777777" w:rsidR="00414C3A" w:rsidRPr="00A61CCA" w:rsidRDefault="00414C3A" w:rsidP="00414C3A">
      <w:pPr>
        <w:rPr>
          <w:lang w:val="en-GB"/>
        </w:rPr>
      </w:pPr>
      <w:r>
        <w:rPr>
          <w:lang w:val="en-GB"/>
        </w:rPr>
        <w:t xml:space="preserve">    </w:t>
      </w:r>
    </w:p>
    <w:p w14:paraId="7EC4F477" w14:textId="77777777" w:rsidR="00414C3A" w:rsidRDefault="00414C3A" w:rsidP="00414C3A">
      <w:pPr>
        <w:tabs>
          <w:tab w:val="left" w:pos="990"/>
        </w:tabs>
        <w:ind w:left="360"/>
        <w:rPr>
          <w:b/>
          <w:bCs/>
          <w:lang w:val="en-GB"/>
        </w:rPr>
      </w:pPr>
      <w:r w:rsidRPr="00701060">
        <w:rPr>
          <w:noProof/>
        </w:rPr>
        <w:drawing>
          <wp:inline distT="0" distB="0" distL="0" distR="0" wp14:anchorId="4CCA2D7D" wp14:editId="033FE57D">
            <wp:extent cx="541972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7F0D" w14:textId="77777777" w:rsidR="00414C3A" w:rsidRDefault="00414C3A" w:rsidP="00414C3A">
      <w:pPr>
        <w:tabs>
          <w:tab w:val="left" w:pos="0"/>
        </w:tabs>
        <w:rPr>
          <w:i/>
          <w:iCs/>
          <w:sz w:val="20"/>
          <w:szCs w:val="20"/>
          <w:lang w:val="en-GB"/>
        </w:rPr>
      </w:pPr>
      <w:r w:rsidRPr="00A22CFE">
        <w:rPr>
          <w:i/>
          <w:iCs/>
          <w:sz w:val="20"/>
          <w:szCs w:val="20"/>
          <w:lang w:val="en-GB"/>
        </w:rPr>
        <w:t>Source: Petroleum Reconciliation Report (2011 to 2019)</w:t>
      </w:r>
    </w:p>
    <w:p w14:paraId="068DFF73" w14:textId="77777777" w:rsidR="00414C3A" w:rsidRDefault="00414C3A" w:rsidP="00414C3A">
      <w:pPr>
        <w:tabs>
          <w:tab w:val="left" w:pos="0"/>
        </w:tabs>
        <w:rPr>
          <w:b/>
          <w:bCs/>
          <w:lang w:val="en-GB"/>
        </w:rPr>
      </w:pPr>
    </w:p>
    <w:p w14:paraId="108D9D92" w14:textId="17AD8D87" w:rsidR="00414C3A" w:rsidRPr="00144B22" w:rsidRDefault="00414C3A" w:rsidP="00414C3A">
      <w:pPr>
        <w:tabs>
          <w:tab w:val="left" w:pos="0"/>
        </w:tabs>
        <w:rPr>
          <w:b/>
          <w:bCs/>
          <w:lang w:val="en-GB"/>
        </w:rPr>
      </w:pPr>
      <w:r w:rsidRPr="00144B22">
        <w:rPr>
          <w:b/>
          <w:bCs/>
          <w:lang w:val="en-GB"/>
        </w:rPr>
        <w:t xml:space="preserve">Figure </w:t>
      </w:r>
      <w:r w:rsidR="00720105">
        <w:rPr>
          <w:b/>
          <w:bCs/>
          <w:lang w:val="en-GB"/>
        </w:rPr>
        <w:t>5</w:t>
      </w:r>
      <w:r w:rsidRPr="00144B22">
        <w:rPr>
          <w:b/>
          <w:bCs/>
          <w:lang w:val="en-GB"/>
        </w:rPr>
        <w:t>: Graph of Petroleum Revenue Flows</w:t>
      </w:r>
    </w:p>
    <w:p w14:paraId="23E2A5C2" w14:textId="77777777" w:rsidR="00414C3A" w:rsidRDefault="00414C3A" w:rsidP="00414C3A">
      <w:pPr>
        <w:tabs>
          <w:tab w:val="left" w:pos="720"/>
        </w:tabs>
        <w:ind w:left="720" w:hanging="720"/>
        <w:rPr>
          <w:lang w:val="en-GB"/>
        </w:rPr>
      </w:pPr>
    </w:p>
    <w:p w14:paraId="48FDD466" w14:textId="47A75916" w:rsidR="00414C3A" w:rsidRDefault="00414C3A" w:rsidP="00414C3A">
      <w:pPr>
        <w:tabs>
          <w:tab w:val="left" w:pos="720"/>
        </w:tabs>
        <w:ind w:left="720" w:hanging="720"/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45538E0E" wp14:editId="7745D2EA">
            <wp:extent cx="4171950" cy="2238375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C2AC9B66-7A82-45DC-9836-20199BD7BA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118CD0" w14:textId="77777777" w:rsidR="00720105" w:rsidRDefault="00720105" w:rsidP="00414C3A">
      <w:pPr>
        <w:tabs>
          <w:tab w:val="left" w:pos="720"/>
        </w:tabs>
        <w:ind w:left="720" w:hanging="720"/>
        <w:rPr>
          <w:noProof/>
        </w:rPr>
      </w:pPr>
    </w:p>
    <w:p w14:paraId="540F4507" w14:textId="37D7B26A" w:rsidR="005754A0" w:rsidRDefault="00946D5C" w:rsidP="00946D5C">
      <w:pPr>
        <w:ind w:firstLine="720"/>
        <w:rPr>
          <w:lang w:val="en-GB"/>
        </w:rPr>
      </w:pPr>
      <w:r>
        <w:rPr>
          <w:lang w:val="en-GB"/>
        </w:rPr>
        <w:t xml:space="preserve">Table </w:t>
      </w:r>
      <w:r w:rsidR="00295054">
        <w:rPr>
          <w:lang w:val="en-GB"/>
        </w:rPr>
        <w:t>5</w:t>
      </w:r>
      <w:r>
        <w:rPr>
          <w:lang w:val="en-GB"/>
        </w:rPr>
        <w:t xml:space="preserve"> shows that </w:t>
      </w:r>
      <w:r>
        <w:rPr>
          <w:i/>
          <w:iCs/>
          <w:u w:val="single"/>
          <w:lang w:val="en-GB"/>
        </w:rPr>
        <w:t>Provisional</w:t>
      </w:r>
      <w:r w:rsidR="00EE6F37">
        <w:rPr>
          <w:i/>
          <w:iCs/>
          <w:u w:val="single"/>
          <w:lang w:val="en-GB"/>
        </w:rPr>
        <w:t xml:space="preserve"> Actual</w:t>
      </w:r>
      <w:r>
        <w:rPr>
          <w:i/>
          <w:iCs/>
          <w:u w:val="single"/>
          <w:lang w:val="en-GB"/>
        </w:rPr>
        <w:t xml:space="preserve"> </w:t>
      </w:r>
      <w:r w:rsidR="005754A0" w:rsidRPr="00531B12">
        <w:rPr>
          <w:i/>
          <w:iCs/>
          <w:u w:val="single"/>
          <w:lang w:val="en-GB"/>
        </w:rPr>
        <w:t xml:space="preserve">revenues for Nana Addo </w:t>
      </w:r>
      <w:r w:rsidR="00216946">
        <w:rPr>
          <w:i/>
          <w:iCs/>
          <w:u w:val="single"/>
          <w:lang w:val="en-GB"/>
        </w:rPr>
        <w:t xml:space="preserve">in </w:t>
      </w:r>
      <w:r w:rsidR="00B55146">
        <w:rPr>
          <w:i/>
          <w:iCs/>
          <w:u w:val="single"/>
          <w:lang w:val="en-GB"/>
        </w:rPr>
        <w:t xml:space="preserve">3 years </w:t>
      </w:r>
      <w:r w:rsidR="00216946">
        <w:rPr>
          <w:i/>
          <w:iCs/>
          <w:u w:val="single"/>
          <w:lang w:val="en-GB"/>
        </w:rPr>
        <w:t>of</w:t>
      </w:r>
      <w:r w:rsidR="00213F22">
        <w:rPr>
          <w:i/>
          <w:iCs/>
          <w:u w:val="single"/>
          <w:lang w:val="en-GB"/>
        </w:rPr>
        <w:t xml:space="preserve"> </w:t>
      </w:r>
      <w:r w:rsidR="005754A0" w:rsidRPr="00213F22">
        <w:rPr>
          <w:i/>
          <w:iCs/>
          <w:highlight w:val="yellow"/>
          <w:u w:val="single"/>
          <w:lang w:val="en-GB"/>
        </w:rPr>
        <w:t xml:space="preserve">Ghc 11.5b </w:t>
      </w:r>
      <w:r w:rsidR="00213F22" w:rsidRPr="00213F22">
        <w:rPr>
          <w:i/>
          <w:iCs/>
          <w:highlight w:val="yellow"/>
          <w:u w:val="single"/>
          <w:lang w:val="en-GB"/>
        </w:rPr>
        <w:t>(</w:t>
      </w:r>
      <w:r w:rsidR="005754A0" w:rsidRPr="00213F22">
        <w:rPr>
          <w:i/>
          <w:iCs/>
          <w:highlight w:val="yellow"/>
          <w:u w:val="single"/>
          <w:lang w:val="en-GB"/>
        </w:rPr>
        <w:t>55.7</w:t>
      </w:r>
      <w:r w:rsidR="00216946">
        <w:rPr>
          <w:i/>
          <w:iCs/>
          <w:highlight w:val="yellow"/>
          <w:u w:val="single"/>
          <w:lang w:val="en-GB"/>
        </w:rPr>
        <w:t>%</w:t>
      </w:r>
      <w:r w:rsidR="005754A0" w:rsidRPr="00213F22">
        <w:rPr>
          <w:i/>
          <w:iCs/>
          <w:highlight w:val="yellow"/>
          <w:u w:val="single"/>
          <w:lang w:val="en-GB"/>
        </w:rPr>
        <w:t>)</w:t>
      </w:r>
      <w:r w:rsidR="005754A0" w:rsidRPr="00531B12">
        <w:rPr>
          <w:i/>
          <w:iCs/>
          <w:u w:val="single"/>
          <w:lang w:val="en-GB"/>
        </w:rPr>
        <w:t xml:space="preserve"> </w:t>
      </w:r>
      <w:r w:rsidR="002F56F2">
        <w:rPr>
          <w:i/>
          <w:iCs/>
          <w:u w:val="single"/>
          <w:lang w:val="en-GB"/>
        </w:rPr>
        <w:t xml:space="preserve">is </w:t>
      </w:r>
      <w:r w:rsidR="005754A0" w:rsidRPr="00531B12">
        <w:rPr>
          <w:i/>
          <w:iCs/>
          <w:u w:val="single"/>
          <w:lang w:val="en-GB"/>
        </w:rPr>
        <w:t xml:space="preserve">higher than Prof Mills </w:t>
      </w:r>
      <w:r w:rsidR="005754A0" w:rsidRPr="00213F22">
        <w:rPr>
          <w:i/>
          <w:iCs/>
          <w:highlight w:val="yellow"/>
          <w:u w:val="single"/>
          <w:lang w:val="en-GB"/>
        </w:rPr>
        <w:t>(Ghc1.</w:t>
      </w:r>
      <w:r w:rsidR="007F207E">
        <w:rPr>
          <w:i/>
          <w:iCs/>
          <w:highlight w:val="yellow"/>
          <w:u w:val="single"/>
          <w:lang w:val="en-GB"/>
        </w:rPr>
        <w:t>75</w:t>
      </w:r>
      <w:r w:rsidR="00213F22" w:rsidRPr="00213F22">
        <w:rPr>
          <w:i/>
          <w:iCs/>
          <w:highlight w:val="yellow"/>
          <w:u w:val="single"/>
          <w:lang w:val="en-GB"/>
        </w:rPr>
        <w:t>b</w:t>
      </w:r>
      <w:r w:rsidR="005754A0" w:rsidRPr="00213F22">
        <w:rPr>
          <w:i/>
          <w:iCs/>
          <w:highlight w:val="yellow"/>
          <w:u w:val="single"/>
          <w:lang w:val="en-GB"/>
        </w:rPr>
        <w:t xml:space="preserve"> or 8.</w:t>
      </w:r>
      <w:r w:rsidR="007F207E">
        <w:rPr>
          <w:i/>
          <w:iCs/>
          <w:highlight w:val="yellow"/>
          <w:u w:val="single"/>
          <w:lang w:val="en-GB"/>
        </w:rPr>
        <w:t>5</w:t>
      </w:r>
      <w:r w:rsidR="00216946">
        <w:rPr>
          <w:i/>
          <w:iCs/>
          <w:highlight w:val="yellow"/>
          <w:u w:val="single"/>
          <w:lang w:val="en-GB"/>
        </w:rPr>
        <w:t>%</w:t>
      </w:r>
      <w:r w:rsidR="005754A0" w:rsidRPr="00213F22">
        <w:rPr>
          <w:i/>
          <w:iCs/>
          <w:highlight w:val="yellow"/>
          <w:u w:val="single"/>
          <w:lang w:val="en-GB"/>
        </w:rPr>
        <w:t>)</w:t>
      </w:r>
      <w:r w:rsidR="005754A0" w:rsidRPr="00531B12">
        <w:rPr>
          <w:i/>
          <w:iCs/>
          <w:u w:val="single"/>
          <w:lang w:val="en-GB"/>
        </w:rPr>
        <w:t xml:space="preserve"> </w:t>
      </w:r>
      <w:r w:rsidR="00216946">
        <w:rPr>
          <w:i/>
          <w:iCs/>
          <w:u w:val="single"/>
          <w:lang w:val="en-GB"/>
        </w:rPr>
        <w:t>in</w:t>
      </w:r>
      <w:r w:rsidR="005754A0">
        <w:rPr>
          <w:i/>
          <w:iCs/>
          <w:u w:val="single"/>
          <w:lang w:val="en-GB"/>
        </w:rPr>
        <w:t xml:space="preserve"> </w:t>
      </w:r>
      <w:r w:rsidR="00DA4F09">
        <w:rPr>
          <w:i/>
          <w:iCs/>
          <w:u w:val="single"/>
          <w:lang w:val="en-GB"/>
        </w:rPr>
        <w:t>1. 5</w:t>
      </w:r>
      <w:r w:rsidR="005754A0">
        <w:rPr>
          <w:i/>
          <w:iCs/>
          <w:u w:val="single"/>
          <w:lang w:val="en-GB"/>
        </w:rPr>
        <w:t xml:space="preserve"> years </w:t>
      </w:r>
      <w:r w:rsidR="005754A0" w:rsidRPr="00531B12">
        <w:rPr>
          <w:i/>
          <w:iCs/>
          <w:u w:val="single"/>
          <w:lang w:val="en-GB"/>
        </w:rPr>
        <w:t xml:space="preserve">and Mahama </w:t>
      </w:r>
      <w:r w:rsidR="005754A0" w:rsidRPr="00213F22">
        <w:rPr>
          <w:i/>
          <w:iCs/>
          <w:highlight w:val="yellow"/>
          <w:u w:val="single"/>
          <w:lang w:val="en-GB"/>
        </w:rPr>
        <w:t>(Ghc7.3b or 35.7</w:t>
      </w:r>
      <w:r w:rsidR="00216946">
        <w:rPr>
          <w:i/>
          <w:iCs/>
          <w:highlight w:val="yellow"/>
          <w:u w:val="single"/>
          <w:lang w:val="en-GB"/>
        </w:rPr>
        <w:t>%</w:t>
      </w:r>
      <w:r w:rsidR="005754A0" w:rsidRPr="00213F22">
        <w:rPr>
          <w:i/>
          <w:iCs/>
          <w:highlight w:val="yellow"/>
          <w:u w:val="single"/>
          <w:lang w:val="en-GB"/>
        </w:rPr>
        <w:t>)</w:t>
      </w:r>
      <w:r w:rsidR="005754A0">
        <w:rPr>
          <w:i/>
          <w:iCs/>
          <w:u w:val="single"/>
          <w:lang w:val="en-GB"/>
        </w:rPr>
        <w:t xml:space="preserve"> </w:t>
      </w:r>
      <w:r w:rsidR="00216946">
        <w:rPr>
          <w:i/>
          <w:iCs/>
          <w:u w:val="single"/>
          <w:lang w:val="en-GB"/>
        </w:rPr>
        <w:t>in</w:t>
      </w:r>
      <w:r w:rsidR="005754A0">
        <w:rPr>
          <w:i/>
          <w:iCs/>
          <w:u w:val="single"/>
          <w:lang w:val="en-GB"/>
        </w:rPr>
        <w:t xml:space="preserve"> </w:t>
      </w:r>
      <w:r w:rsidR="00213F22">
        <w:rPr>
          <w:i/>
          <w:iCs/>
          <w:u w:val="single"/>
          <w:lang w:val="en-GB"/>
        </w:rPr>
        <w:t>4</w:t>
      </w:r>
      <w:r w:rsidR="005754A0">
        <w:rPr>
          <w:i/>
          <w:iCs/>
          <w:u w:val="single"/>
          <w:lang w:val="en-GB"/>
        </w:rPr>
        <w:t xml:space="preserve"> years</w:t>
      </w:r>
      <w:r w:rsidR="005754A0">
        <w:rPr>
          <w:lang w:val="en-GB"/>
        </w:rPr>
        <w:t>.</w:t>
      </w:r>
    </w:p>
    <w:p w14:paraId="68D7ECF7" w14:textId="1D23239D" w:rsidR="005754A0" w:rsidRDefault="005754A0" w:rsidP="00DA4F09">
      <w:pPr>
        <w:rPr>
          <w:lang w:val="en-GB"/>
        </w:rPr>
      </w:pPr>
    </w:p>
    <w:p w14:paraId="681A0DFB" w14:textId="4A974F1E" w:rsidR="009A20F5" w:rsidRDefault="009A20F5" w:rsidP="00DA4F09">
      <w:pPr>
        <w:rPr>
          <w:lang w:val="en-GB"/>
        </w:rPr>
      </w:pPr>
    </w:p>
    <w:p w14:paraId="29C3122F" w14:textId="3B9D5836" w:rsidR="009A20F5" w:rsidRDefault="009A20F5" w:rsidP="00DA4F09">
      <w:pPr>
        <w:rPr>
          <w:lang w:val="en-GB"/>
        </w:rPr>
      </w:pPr>
    </w:p>
    <w:p w14:paraId="1E4DDFDE" w14:textId="2C920FBB" w:rsidR="009A20F5" w:rsidRDefault="009A20F5" w:rsidP="00DA4F09">
      <w:pPr>
        <w:rPr>
          <w:lang w:val="en-GB"/>
        </w:rPr>
      </w:pPr>
    </w:p>
    <w:p w14:paraId="7A7248BB" w14:textId="0D5D18EF" w:rsidR="009A20F5" w:rsidRDefault="009A20F5" w:rsidP="00DA4F09">
      <w:pPr>
        <w:rPr>
          <w:lang w:val="en-GB"/>
        </w:rPr>
      </w:pPr>
    </w:p>
    <w:p w14:paraId="47924AFC" w14:textId="52538E4C" w:rsidR="009A20F5" w:rsidRDefault="009A20F5" w:rsidP="00DA4F09">
      <w:pPr>
        <w:rPr>
          <w:lang w:val="en-GB"/>
        </w:rPr>
      </w:pPr>
    </w:p>
    <w:p w14:paraId="6A86D0E6" w14:textId="5108F8D8" w:rsidR="009A20F5" w:rsidRDefault="009A20F5" w:rsidP="00DA4F09">
      <w:pPr>
        <w:rPr>
          <w:lang w:val="en-GB"/>
        </w:rPr>
      </w:pPr>
    </w:p>
    <w:p w14:paraId="625A9C41" w14:textId="1BC7468F" w:rsidR="00554623" w:rsidRDefault="00E83D2C" w:rsidP="007F207E">
      <w:pPr>
        <w:ind w:firstLine="540"/>
        <w:rPr>
          <w:b/>
          <w:bCs/>
          <w:sz w:val="22"/>
          <w:szCs w:val="22"/>
          <w:lang w:val="en-GB"/>
        </w:rPr>
      </w:pPr>
      <w:r w:rsidRPr="00727905">
        <w:rPr>
          <w:b/>
          <w:bCs/>
          <w:sz w:val="22"/>
          <w:szCs w:val="22"/>
          <w:lang w:val="en-GB"/>
        </w:rPr>
        <w:lastRenderedPageBreak/>
        <w:t xml:space="preserve">Table </w:t>
      </w:r>
      <w:r w:rsidR="00295054">
        <w:rPr>
          <w:b/>
          <w:bCs/>
          <w:sz w:val="22"/>
          <w:szCs w:val="22"/>
          <w:lang w:val="en-GB"/>
        </w:rPr>
        <w:t>5</w:t>
      </w:r>
      <w:r w:rsidRPr="00727905">
        <w:rPr>
          <w:b/>
          <w:bCs/>
          <w:sz w:val="22"/>
          <w:szCs w:val="22"/>
          <w:lang w:val="en-GB"/>
        </w:rPr>
        <w:t>: Flows to Budget (</w:t>
      </w:r>
      <w:r w:rsidRPr="001C1D1F">
        <w:rPr>
          <w:b/>
          <w:bCs/>
          <w:sz w:val="22"/>
          <w:szCs w:val="22"/>
          <w:highlight w:val="yellow"/>
          <w:lang w:val="en-GB"/>
        </w:rPr>
        <w:t>Gh</w:t>
      </w:r>
      <w:r w:rsidR="006B554D" w:rsidRPr="001C1D1F">
        <w:rPr>
          <w:b/>
          <w:bCs/>
          <w:sz w:val="22"/>
          <w:szCs w:val="22"/>
          <w:highlight w:val="yellow"/>
          <w:lang w:val="en-GB"/>
        </w:rPr>
        <w:t>c</w:t>
      </w:r>
      <w:r w:rsidRPr="00727905">
        <w:rPr>
          <w:b/>
          <w:bCs/>
          <w:sz w:val="22"/>
          <w:szCs w:val="22"/>
          <w:lang w:val="en-GB"/>
        </w:rPr>
        <w:t xml:space="preserve"> and Percent {%} of Totals)  </w:t>
      </w:r>
    </w:p>
    <w:p w14:paraId="65DF4C74" w14:textId="4284EB89" w:rsidR="007F207E" w:rsidRDefault="007F207E" w:rsidP="00E83D2C">
      <w:pPr>
        <w:rPr>
          <w:b/>
          <w:bCs/>
          <w:sz w:val="22"/>
          <w:szCs w:val="22"/>
          <w:lang w:val="en-GB"/>
        </w:rPr>
      </w:pPr>
    </w:p>
    <w:p w14:paraId="004CC81B" w14:textId="610D025E" w:rsidR="007F207E" w:rsidRDefault="007F207E" w:rsidP="007F207E">
      <w:pPr>
        <w:ind w:left="540"/>
        <w:rPr>
          <w:b/>
          <w:bCs/>
          <w:sz w:val="22"/>
          <w:szCs w:val="22"/>
          <w:lang w:val="en-GB"/>
        </w:rPr>
      </w:pPr>
      <w:r w:rsidRPr="007F207E">
        <w:rPr>
          <w:noProof/>
        </w:rPr>
        <w:drawing>
          <wp:inline distT="0" distB="0" distL="0" distR="0" wp14:anchorId="38BD9DBF" wp14:editId="27DCEA15">
            <wp:extent cx="538162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23D2" w14:textId="2354FEF8" w:rsidR="00DA4F09" w:rsidRDefault="00A22CFE" w:rsidP="007F207E">
      <w:pPr>
        <w:pStyle w:val="ListParagraph"/>
        <w:ind w:left="0" w:firstLine="540"/>
        <w:rPr>
          <w:b/>
          <w:bCs/>
          <w:lang w:val="en-GB"/>
        </w:rPr>
      </w:pPr>
      <w:r w:rsidRPr="00A22CFE">
        <w:rPr>
          <w:i/>
          <w:iCs/>
          <w:sz w:val="20"/>
          <w:szCs w:val="20"/>
          <w:lang w:val="en-GB"/>
        </w:rPr>
        <w:t>Source: Petroleum Reconciliation Report (2011 to 2019)</w:t>
      </w:r>
    </w:p>
    <w:p w14:paraId="193FDF99" w14:textId="77777777" w:rsidR="007F207E" w:rsidRDefault="007F207E" w:rsidP="007F207E">
      <w:pPr>
        <w:rPr>
          <w:lang w:val="en-GB"/>
        </w:rPr>
      </w:pPr>
    </w:p>
    <w:p w14:paraId="0395F9B4" w14:textId="09C45E9B" w:rsidR="007F207E" w:rsidRDefault="007F207E" w:rsidP="007F207E">
      <w:pPr>
        <w:rPr>
          <w:lang w:val="en-GB"/>
        </w:rPr>
      </w:pPr>
      <w:r>
        <w:rPr>
          <w:lang w:val="en-GB"/>
        </w:rPr>
        <w:tab/>
      </w:r>
      <w:r w:rsidR="00A34EDF">
        <w:rPr>
          <w:lang w:val="en-GB"/>
        </w:rPr>
        <w:t xml:space="preserve">Again, </w:t>
      </w:r>
      <w:r>
        <w:rPr>
          <w:lang w:val="en-GB"/>
        </w:rPr>
        <w:t xml:space="preserve">Table </w:t>
      </w:r>
      <w:r w:rsidR="00295054">
        <w:rPr>
          <w:lang w:val="en-GB"/>
        </w:rPr>
        <w:t>6</w:t>
      </w:r>
      <w:r>
        <w:rPr>
          <w:lang w:val="en-GB"/>
        </w:rPr>
        <w:t xml:space="preserve"> shows that </w:t>
      </w:r>
      <w:r w:rsidRPr="00946D5C">
        <w:rPr>
          <w:i/>
          <w:iCs/>
          <w:u w:val="single"/>
          <w:lang w:val="en-GB"/>
        </w:rPr>
        <w:t>Nana Addo</w:t>
      </w:r>
      <w:r w:rsidR="00EE6F37">
        <w:rPr>
          <w:i/>
          <w:iCs/>
          <w:u w:val="single"/>
          <w:lang w:val="en-GB"/>
        </w:rPr>
        <w:t>’s</w:t>
      </w:r>
      <w:r w:rsidRPr="00946D5C">
        <w:rPr>
          <w:i/>
          <w:iCs/>
          <w:u w:val="single"/>
          <w:lang w:val="en-GB"/>
        </w:rPr>
        <w:t xml:space="preserve"> </w:t>
      </w:r>
      <w:r w:rsidR="002A0328">
        <w:rPr>
          <w:i/>
          <w:iCs/>
          <w:u w:val="single"/>
          <w:lang w:val="en-GB"/>
        </w:rPr>
        <w:t xml:space="preserve">Budget </w:t>
      </w:r>
      <w:r w:rsidR="00EE6F37">
        <w:rPr>
          <w:i/>
          <w:iCs/>
          <w:u w:val="single"/>
          <w:lang w:val="en-GB"/>
        </w:rPr>
        <w:t>share</w:t>
      </w:r>
      <w:r w:rsidR="00946D5C" w:rsidRPr="00946D5C">
        <w:rPr>
          <w:i/>
          <w:iCs/>
          <w:u w:val="single"/>
          <w:lang w:val="en-GB"/>
        </w:rPr>
        <w:t xml:space="preserve"> </w:t>
      </w:r>
      <w:r w:rsidRPr="00946D5C">
        <w:rPr>
          <w:i/>
          <w:iCs/>
          <w:u w:val="single"/>
          <w:lang w:val="en-GB"/>
        </w:rPr>
        <w:t xml:space="preserve">of </w:t>
      </w:r>
      <w:r w:rsidR="00946D5C" w:rsidRPr="00946D5C">
        <w:rPr>
          <w:i/>
          <w:iCs/>
          <w:u w:val="single"/>
          <w:lang w:val="en-GB"/>
        </w:rPr>
        <w:t>Ghc</w:t>
      </w:r>
      <w:r w:rsidRPr="00946D5C">
        <w:rPr>
          <w:i/>
          <w:iCs/>
          <w:u w:val="single"/>
          <w:lang w:val="en-GB"/>
        </w:rPr>
        <w:t>11.5</w:t>
      </w:r>
      <w:r w:rsidR="00946D5C" w:rsidRPr="00946D5C">
        <w:rPr>
          <w:i/>
          <w:iCs/>
          <w:u w:val="single"/>
          <w:lang w:val="en-GB"/>
        </w:rPr>
        <w:t>b or 55.7</w:t>
      </w:r>
      <w:r w:rsidR="002A0328">
        <w:rPr>
          <w:i/>
          <w:iCs/>
          <w:u w:val="single"/>
          <w:lang w:val="en-GB"/>
        </w:rPr>
        <w:t>%</w:t>
      </w:r>
      <w:r w:rsidR="00946D5C" w:rsidRPr="00946D5C">
        <w:rPr>
          <w:i/>
          <w:iCs/>
          <w:u w:val="single"/>
          <w:lang w:val="en-GB"/>
        </w:rPr>
        <w:t xml:space="preserve"> exceeds the </w:t>
      </w:r>
      <w:r w:rsidR="00946D5C" w:rsidRPr="002A0328">
        <w:rPr>
          <w:b/>
          <w:bCs/>
          <w:i/>
          <w:iCs/>
          <w:u w:val="single"/>
          <w:lang w:val="en-GB"/>
        </w:rPr>
        <w:t>combined</w:t>
      </w:r>
      <w:r w:rsidR="00946D5C" w:rsidRPr="00946D5C">
        <w:rPr>
          <w:i/>
          <w:iCs/>
          <w:u w:val="single"/>
          <w:lang w:val="en-GB"/>
        </w:rPr>
        <w:t xml:space="preserve"> Mills/Mahama </w:t>
      </w:r>
      <w:r w:rsidR="00EE6F37">
        <w:rPr>
          <w:i/>
          <w:iCs/>
          <w:u w:val="single"/>
          <w:lang w:val="en-GB"/>
        </w:rPr>
        <w:t>share</w:t>
      </w:r>
      <w:r w:rsidR="00946D5C" w:rsidRPr="00946D5C">
        <w:rPr>
          <w:i/>
          <w:iCs/>
          <w:u w:val="single"/>
          <w:lang w:val="en-GB"/>
        </w:rPr>
        <w:t xml:space="preserve"> of Ghc9.1b or 44.3</w:t>
      </w:r>
      <w:r w:rsidR="002A0328">
        <w:rPr>
          <w:i/>
          <w:iCs/>
          <w:u w:val="single"/>
          <w:lang w:val="en-GB"/>
        </w:rPr>
        <w:t>%</w:t>
      </w:r>
      <w:r w:rsidR="00EE6F37">
        <w:rPr>
          <w:lang w:val="en-GB"/>
        </w:rPr>
        <w:t xml:space="preserve">—despite a </w:t>
      </w:r>
      <w:r w:rsidR="002A0328">
        <w:rPr>
          <w:lang w:val="en-GB"/>
        </w:rPr>
        <w:t xml:space="preserve">potentially </w:t>
      </w:r>
      <w:r w:rsidR="00EE6F37">
        <w:rPr>
          <w:lang w:val="en-GB"/>
        </w:rPr>
        <w:t>high deviation of 82.7 percent.</w:t>
      </w:r>
    </w:p>
    <w:p w14:paraId="129BF563" w14:textId="04219B27" w:rsidR="00946D5C" w:rsidRDefault="00946D5C" w:rsidP="007F207E">
      <w:pPr>
        <w:rPr>
          <w:lang w:val="en-GB"/>
        </w:rPr>
      </w:pPr>
    </w:p>
    <w:p w14:paraId="30935A07" w14:textId="2A549D60" w:rsidR="007F207E" w:rsidRDefault="007F207E" w:rsidP="007F207E">
      <w:pPr>
        <w:rPr>
          <w:b/>
          <w:bCs/>
          <w:sz w:val="22"/>
          <w:szCs w:val="22"/>
          <w:lang w:val="en-GB"/>
        </w:rPr>
      </w:pPr>
      <w:r>
        <w:rPr>
          <w:lang w:val="en-GB"/>
        </w:rPr>
        <w:tab/>
      </w:r>
      <w:r w:rsidRPr="00727905">
        <w:rPr>
          <w:b/>
          <w:bCs/>
          <w:sz w:val="22"/>
          <w:szCs w:val="22"/>
          <w:lang w:val="en-GB"/>
        </w:rPr>
        <w:t xml:space="preserve">Table </w:t>
      </w:r>
      <w:r w:rsidR="00295054">
        <w:rPr>
          <w:b/>
          <w:bCs/>
          <w:sz w:val="22"/>
          <w:szCs w:val="22"/>
          <w:lang w:val="en-GB"/>
        </w:rPr>
        <w:t>6</w:t>
      </w:r>
      <w:r w:rsidRPr="00727905">
        <w:rPr>
          <w:b/>
          <w:bCs/>
          <w:sz w:val="22"/>
          <w:szCs w:val="22"/>
          <w:lang w:val="en-GB"/>
        </w:rPr>
        <w:t>: Flows to Budget (</w:t>
      </w:r>
      <w:r w:rsidRPr="00946D5C">
        <w:rPr>
          <w:b/>
          <w:bCs/>
          <w:sz w:val="22"/>
          <w:szCs w:val="22"/>
          <w:lang w:val="en-GB"/>
        </w:rPr>
        <w:t>Ghc</w:t>
      </w:r>
      <w:r w:rsidRPr="00727905">
        <w:rPr>
          <w:b/>
          <w:bCs/>
          <w:sz w:val="22"/>
          <w:szCs w:val="22"/>
          <w:lang w:val="en-GB"/>
        </w:rPr>
        <w:t xml:space="preserve"> and Percent {%} of Totals) </w:t>
      </w:r>
    </w:p>
    <w:p w14:paraId="24C0F849" w14:textId="77777777" w:rsidR="00946D5C" w:rsidRDefault="00946D5C" w:rsidP="007F207E">
      <w:pPr>
        <w:rPr>
          <w:lang w:val="en-GB"/>
        </w:rPr>
      </w:pPr>
    </w:p>
    <w:p w14:paraId="6C3C44ED" w14:textId="0E4FE490" w:rsidR="007F207E" w:rsidRDefault="007F207E" w:rsidP="007F207E">
      <w:pPr>
        <w:ind w:left="540"/>
        <w:rPr>
          <w:lang w:val="en-GB"/>
        </w:rPr>
      </w:pPr>
      <w:r>
        <w:rPr>
          <w:lang w:val="en-GB"/>
        </w:rPr>
        <w:tab/>
      </w:r>
      <w:r w:rsidRPr="007F207E">
        <w:rPr>
          <w:noProof/>
        </w:rPr>
        <w:drawing>
          <wp:inline distT="0" distB="0" distL="0" distR="0" wp14:anchorId="30505A75" wp14:editId="7CD302DE">
            <wp:extent cx="5248275" cy="1343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C1F2" w14:textId="6E75030D" w:rsidR="00EE6F37" w:rsidRDefault="00EE6F37" w:rsidP="00527D6F">
      <w:pPr>
        <w:rPr>
          <w:b/>
          <w:bCs/>
          <w:lang w:val="en-GB"/>
        </w:rPr>
      </w:pPr>
    </w:p>
    <w:p w14:paraId="25AB359E" w14:textId="77777777" w:rsidR="00C81E43" w:rsidRDefault="00527D6F" w:rsidP="00527D6F">
      <w:pPr>
        <w:rPr>
          <w:b/>
          <w:bCs/>
          <w:lang w:val="en-GB"/>
        </w:rPr>
      </w:pPr>
      <w:r>
        <w:rPr>
          <w:b/>
          <w:bCs/>
          <w:lang w:val="en-GB"/>
        </w:rPr>
        <w:t>Conclusion</w:t>
      </w:r>
    </w:p>
    <w:p w14:paraId="67C82201" w14:textId="47A1CFBC" w:rsidR="00527D6F" w:rsidRPr="00C81E43" w:rsidRDefault="00A34EDF" w:rsidP="00527D6F">
      <w:pPr>
        <w:rPr>
          <w:b/>
          <w:bCs/>
          <w:lang w:val="en-GB"/>
        </w:rPr>
      </w:pPr>
      <w:r>
        <w:rPr>
          <w:lang w:val="en-GB"/>
        </w:rPr>
        <w:t xml:space="preserve">It is obvious from these data and explanation that the claims of inheriting a poor economy from the perspective of oil revenues is false. The distortion is to keep the lid on the consequences of an </w:t>
      </w:r>
      <w:r>
        <w:rPr>
          <w:i/>
          <w:iCs/>
          <w:u w:val="single"/>
          <w:lang w:val="en-GB"/>
        </w:rPr>
        <w:t>a</w:t>
      </w:r>
      <w:r w:rsidRPr="00A34EDF">
        <w:rPr>
          <w:i/>
          <w:iCs/>
          <w:u w:val="single"/>
          <w:lang w:val="en-GB"/>
        </w:rPr>
        <w:t>mbitious “consumption-based” economic agenda</w:t>
      </w:r>
      <w:r>
        <w:rPr>
          <w:lang w:val="en-GB"/>
        </w:rPr>
        <w:t xml:space="preserve"> that is no longer convincing, politically. As noted later, it </w:t>
      </w:r>
      <w:r w:rsidR="00323D2D">
        <w:rPr>
          <w:lang w:val="en-GB"/>
        </w:rPr>
        <w:t>hides</w:t>
      </w:r>
      <w:r>
        <w:rPr>
          <w:lang w:val="en-GB"/>
        </w:rPr>
        <w:t xml:space="preserve"> the </w:t>
      </w:r>
      <w:r w:rsidR="00323D2D">
        <w:rPr>
          <w:lang w:val="en-GB"/>
        </w:rPr>
        <w:t>effects of false</w:t>
      </w:r>
      <w:r>
        <w:rPr>
          <w:lang w:val="en-GB"/>
        </w:rPr>
        <w:t xml:space="preserve"> fiscal accounting that </w:t>
      </w:r>
      <w:r w:rsidRPr="00323D2D">
        <w:rPr>
          <w:i/>
          <w:iCs/>
          <w:u w:val="single"/>
          <w:lang w:val="en-GB"/>
        </w:rPr>
        <w:t xml:space="preserve">shows an </w:t>
      </w:r>
      <w:r w:rsidR="00323D2D" w:rsidRPr="00323D2D">
        <w:rPr>
          <w:i/>
          <w:iCs/>
          <w:u w:val="single"/>
          <w:lang w:val="en-GB"/>
        </w:rPr>
        <w:t xml:space="preserve">exaggerated </w:t>
      </w:r>
      <w:r w:rsidRPr="00323D2D">
        <w:rPr>
          <w:i/>
          <w:iCs/>
          <w:u w:val="single"/>
          <w:lang w:val="en-GB"/>
        </w:rPr>
        <w:t xml:space="preserve">pace of fiscal consolidation is </w:t>
      </w:r>
      <w:r w:rsidR="00323D2D" w:rsidRPr="00323D2D">
        <w:rPr>
          <w:i/>
          <w:iCs/>
          <w:u w:val="single"/>
          <w:lang w:val="en-GB"/>
        </w:rPr>
        <w:t>contrary</w:t>
      </w:r>
      <w:r w:rsidRPr="00323D2D">
        <w:rPr>
          <w:i/>
          <w:iCs/>
          <w:u w:val="single"/>
          <w:lang w:val="en-GB"/>
        </w:rPr>
        <w:t xml:space="preserve"> to a faster pace of accumulating public debt</w:t>
      </w:r>
      <w:r>
        <w:rPr>
          <w:lang w:val="en-GB"/>
        </w:rPr>
        <w:t xml:space="preserve">. </w:t>
      </w:r>
      <w:r w:rsidR="00323D2D">
        <w:rPr>
          <w:lang w:val="en-GB"/>
        </w:rPr>
        <w:t>Unfortunately</w:t>
      </w:r>
      <w:r>
        <w:rPr>
          <w:lang w:val="en-GB"/>
        </w:rPr>
        <w:t xml:space="preserve">, </w:t>
      </w:r>
      <w:r w:rsidRPr="00323D2D">
        <w:rPr>
          <w:i/>
          <w:iCs/>
          <w:u w:val="single"/>
          <w:lang w:val="en-GB"/>
        </w:rPr>
        <w:t>the burst of compensating investment project</w:t>
      </w:r>
      <w:r>
        <w:rPr>
          <w:lang w:val="en-GB"/>
        </w:rPr>
        <w:t xml:space="preserve"> </w:t>
      </w:r>
      <w:r w:rsidR="00323D2D">
        <w:rPr>
          <w:lang w:val="en-GB"/>
        </w:rPr>
        <w:t>is worsening the consequences of high pre-COVID-19 deficit and public debt misrepresentations, with harsh consequences for the entire economy.</w:t>
      </w:r>
      <w:r>
        <w:rPr>
          <w:lang w:val="en-GB"/>
        </w:rPr>
        <w:t xml:space="preserve">  </w:t>
      </w:r>
    </w:p>
    <w:sectPr w:rsidR="00527D6F" w:rsidRPr="00C81E4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3104" w14:textId="77777777" w:rsidR="00CE45DB" w:rsidRDefault="00CE45DB" w:rsidP="004B331A">
      <w:r>
        <w:separator/>
      </w:r>
    </w:p>
  </w:endnote>
  <w:endnote w:type="continuationSeparator" w:id="0">
    <w:p w14:paraId="5AE469D1" w14:textId="77777777" w:rsidR="00CE45DB" w:rsidRDefault="00CE45DB" w:rsidP="004B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790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01C902" w14:textId="7442E84D" w:rsidR="00DB5392" w:rsidRDefault="00DB539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43" w:rsidRPr="00C81E4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719D1D" w14:textId="77777777" w:rsidR="00DB5392" w:rsidRDefault="00DB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4C5B" w14:textId="77777777" w:rsidR="00CE45DB" w:rsidRDefault="00CE45DB" w:rsidP="004B331A">
      <w:r>
        <w:separator/>
      </w:r>
    </w:p>
  </w:footnote>
  <w:footnote w:type="continuationSeparator" w:id="0">
    <w:p w14:paraId="33B77B8A" w14:textId="77777777" w:rsidR="00CE45DB" w:rsidRDefault="00CE45DB" w:rsidP="004B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07B"/>
    <w:multiLevelType w:val="hybridMultilevel"/>
    <w:tmpl w:val="08E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F28"/>
    <w:multiLevelType w:val="hybridMultilevel"/>
    <w:tmpl w:val="F942F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FC4CD8"/>
    <w:multiLevelType w:val="hybridMultilevel"/>
    <w:tmpl w:val="D92E52DA"/>
    <w:lvl w:ilvl="0" w:tplc="D598E2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913"/>
    <w:multiLevelType w:val="hybridMultilevel"/>
    <w:tmpl w:val="9E0E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0381"/>
    <w:multiLevelType w:val="hybridMultilevel"/>
    <w:tmpl w:val="1FC66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27EC5"/>
    <w:multiLevelType w:val="hybridMultilevel"/>
    <w:tmpl w:val="2AC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2101"/>
    <w:multiLevelType w:val="hybridMultilevel"/>
    <w:tmpl w:val="FE3E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14AB"/>
    <w:multiLevelType w:val="multilevel"/>
    <w:tmpl w:val="477005C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D43168"/>
    <w:multiLevelType w:val="hybridMultilevel"/>
    <w:tmpl w:val="221E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3758"/>
    <w:multiLevelType w:val="hybridMultilevel"/>
    <w:tmpl w:val="8A92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32D2"/>
    <w:multiLevelType w:val="hybridMultilevel"/>
    <w:tmpl w:val="5D6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B3E62"/>
    <w:multiLevelType w:val="hybridMultilevel"/>
    <w:tmpl w:val="019E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954"/>
    <w:multiLevelType w:val="hybridMultilevel"/>
    <w:tmpl w:val="2016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46D5"/>
    <w:multiLevelType w:val="hybridMultilevel"/>
    <w:tmpl w:val="4FA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320"/>
    <w:multiLevelType w:val="hybridMultilevel"/>
    <w:tmpl w:val="6D20E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166B8"/>
    <w:multiLevelType w:val="hybridMultilevel"/>
    <w:tmpl w:val="F16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3"/>
    <w:rsid w:val="000008B8"/>
    <w:rsid w:val="00040099"/>
    <w:rsid w:val="00040D51"/>
    <w:rsid w:val="00053B6B"/>
    <w:rsid w:val="00057A2C"/>
    <w:rsid w:val="00076BD5"/>
    <w:rsid w:val="000955A1"/>
    <w:rsid w:val="00095D39"/>
    <w:rsid w:val="000B22B0"/>
    <w:rsid w:val="000B6EE2"/>
    <w:rsid w:val="000C249A"/>
    <w:rsid w:val="000E3835"/>
    <w:rsid w:val="000F6CCF"/>
    <w:rsid w:val="001268DE"/>
    <w:rsid w:val="00134EFB"/>
    <w:rsid w:val="001379AF"/>
    <w:rsid w:val="00144B22"/>
    <w:rsid w:val="0015204F"/>
    <w:rsid w:val="001934A2"/>
    <w:rsid w:val="001B22D1"/>
    <w:rsid w:val="001C0768"/>
    <w:rsid w:val="001C1D1F"/>
    <w:rsid w:val="001F38C6"/>
    <w:rsid w:val="002009CE"/>
    <w:rsid w:val="00213F22"/>
    <w:rsid w:val="00216946"/>
    <w:rsid w:val="00232406"/>
    <w:rsid w:val="00256763"/>
    <w:rsid w:val="002828DC"/>
    <w:rsid w:val="00283E33"/>
    <w:rsid w:val="00295054"/>
    <w:rsid w:val="002A0328"/>
    <w:rsid w:val="002A16CC"/>
    <w:rsid w:val="002A2D90"/>
    <w:rsid w:val="002A46E7"/>
    <w:rsid w:val="002B389A"/>
    <w:rsid w:val="002B3D68"/>
    <w:rsid w:val="002B5621"/>
    <w:rsid w:val="002C4728"/>
    <w:rsid w:val="002D7E41"/>
    <w:rsid w:val="002E05CA"/>
    <w:rsid w:val="002E7277"/>
    <w:rsid w:val="002F56F2"/>
    <w:rsid w:val="00304F6E"/>
    <w:rsid w:val="00315BA9"/>
    <w:rsid w:val="00320A2E"/>
    <w:rsid w:val="00323D2D"/>
    <w:rsid w:val="003244B5"/>
    <w:rsid w:val="0034246D"/>
    <w:rsid w:val="00354F18"/>
    <w:rsid w:val="00361740"/>
    <w:rsid w:val="003718F2"/>
    <w:rsid w:val="00381377"/>
    <w:rsid w:val="00383FE8"/>
    <w:rsid w:val="003918F3"/>
    <w:rsid w:val="00397CE1"/>
    <w:rsid w:val="003A44DC"/>
    <w:rsid w:val="003B769B"/>
    <w:rsid w:val="004144FF"/>
    <w:rsid w:val="00414C3A"/>
    <w:rsid w:val="004231BF"/>
    <w:rsid w:val="00425B70"/>
    <w:rsid w:val="00440C0A"/>
    <w:rsid w:val="004514CE"/>
    <w:rsid w:val="00453CF0"/>
    <w:rsid w:val="00461D12"/>
    <w:rsid w:val="00464DAC"/>
    <w:rsid w:val="004713D5"/>
    <w:rsid w:val="004713FD"/>
    <w:rsid w:val="0047556C"/>
    <w:rsid w:val="00481B18"/>
    <w:rsid w:val="004B1E70"/>
    <w:rsid w:val="004B2BC4"/>
    <w:rsid w:val="004B331A"/>
    <w:rsid w:val="004B5720"/>
    <w:rsid w:val="004C2714"/>
    <w:rsid w:val="004F2976"/>
    <w:rsid w:val="0050386E"/>
    <w:rsid w:val="005040A7"/>
    <w:rsid w:val="00527D6F"/>
    <w:rsid w:val="00531B12"/>
    <w:rsid w:val="0055116D"/>
    <w:rsid w:val="00551189"/>
    <w:rsid w:val="0055281A"/>
    <w:rsid w:val="00554623"/>
    <w:rsid w:val="005754A0"/>
    <w:rsid w:val="00584196"/>
    <w:rsid w:val="005B4516"/>
    <w:rsid w:val="005D2520"/>
    <w:rsid w:val="005E39D0"/>
    <w:rsid w:val="005E5738"/>
    <w:rsid w:val="005F458C"/>
    <w:rsid w:val="006221B4"/>
    <w:rsid w:val="00631FCF"/>
    <w:rsid w:val="00635989"/>
    <w:rsid w:val="00646031"/>
    <w:rsid w:val="00651BA4"/>
    <w:rsid w:val="00662CDF"/>
    <w:rsid w:val="00665EC9"/>
    <w:rsid w:val="00666C0C"/>
    <w:rsid w:val="006871DB"/>
    <w:rsid w:val="00694443"/>
    <w:rsid w:val="006963EF"/>
    <w:rsid w:val="006A0ED8"/>
    <w:rsid w:val="006B554D"/>
    <w:rsid w:val="006B728A"/>
    <w:rsid w:val="006C6254"/>
    <w:rsid w:val="006C7834"/>
    <w:rsid w:val="006E22EE"/>
    <w:rsid w:val="006E2D56"/>
    <w:rsid w:val="00701060"/>
    <w:rsid w:val="007078B3"/>
    <w:rsid w:val="00711549"/>
    <w:rsid w:val="007119AA"/>
    <w:rsid w:val="00720105"/>
    <w:rsid w:val="00726176"/>
    <w:rsid w:val="00727905"/>
    <w:rsid w:val="00733968"/>
    <w:rsid w:val="00745D5A"/>
    <w:rsid w:val="00761616"/>
    <w:rsid w:val="0077187B"/>
    <w:rsid w:val="00784901"/>
    <w:rsid w:val="007A4358"/>
    <w:rsid w:val="007B2FBF"/>
    <w:rsid w:val="007C79B1"/>
    <w:rsid w:val="007D5678"/>
    <w:rsid w:val="007D5B66"/>
    <w:rsid w:val="007F207E"/>
    <w:rsid w:val="007F4693"/>
    <w:rsid w:val="00805609"/>
    <w:rsid w:val="00816E9B"/>
    <w:rsid w:val="00826581"/>
    <w:rsid w:val="00864A35"/>
    <w:rsid w:val="00884F4E"/>
    <w:rsid w:val="0088742A"/>
    <w:rsid w:val="00890176"/>
    <w:rsid w:val="0089338A"/>
    <w:rsid w:val="008E0891"/>
    <w:rsid w:val="00900E63"/>
    <w:rsid w:val="00911EE0"/>
    <w:rsid w:val="009447CD"/>
    <w:rsid w:val="00946D5C"/>
    <w:rsid w:val="009513B4"/>
    <w:rsid w:val="0095420B"/>
    <w:rsid w:val="009666C8"/>
    <w:rsid w:val="00977369"/>
    <w:rsid w:val="0098036B"/>
    <w:rsid w:val="009964B7"/>
    <w:rsid w:val="009A20F5"/>
    <w:rsid w:val="009C1E11"/>
    <w:rsid w:val="009C5804"/>
    <w:rsid w:val="009C79DE"/>
    <w:rsid w:val="009E5189"/>
    <w:rsid w:val="00A14F3D"/>
    <w:rsid w:val="00A20AF3"/>
    <w:rsid w:val="00A22CFE"/>
    <w:rsid w:val="00A27B1C"/>
    <w:rsid w:val="00A32B71"/>
    <w:rsid w:val="00A34EDF"/>
    <w:rsid w:val="00A50A31"/>
    <w:rsid w:val="00A577A5"/>
    <w:rsid w:val="00A61CCA"/>
    <w:rsid w:val="00A64117"/>
    <w:rsid w:val="00A64B6D"/>
    <w:rsid w:val="00A7211F"/>
    <w:rsid w:val="00A75CE8"/>
    <w:rsid w:val="00A763ED"/>
    <w:rsid w:val="00A84603"/>
    <w:rsid w:val="00A9710B"/>
    <w:rsid w:val="00AA3A7A"/>
    <w:rsid w:val="00AC36ED"/>
    <w:rsid w:val="00AD649E"/>
    <w:rsid w:val="00AD7AFF"/>
    <w:rsid w:val="00AE307C"/>
    <w:rsid w:val="00B1672A"/>
    <w:rsid w:val="00B21453"/>
    <w:rsid w:val="00B304FC"/>
    <w:rsid w:val="00B37F30"/>
    <w:rsid w:val="00B41B95"/>
    <w:rsid w:val="00B420F8"/>
    <w:rsid w:val="00B55146"/>
    <w:rsid w:val="00B55172"/>
    <w:rsid w:val="00B63F9C"/>
    <w:rsid w:val="00B767D1"/>
    <w:rsid w:val="00B77D92"/>
    <w:rsid w:val="00B806C1"/>
    <w:rsid w:val="00BB1660"/>
    <w:rsid w:val="00BC5D39"/>
    <w:rsid w:val="00BD7706"/>
    <w:rsid w:val="00BE37B8"/>
    <w:rsid w:val="00BE615B"/>
    <w:rsid w:val="00BE74F1"/>
    <w:rsid w:val="00BF0E08"/>
    <w:rsid w:val="00BF7EAE"/>
    <w:rsid w:val="00C05DE6"/>
    <w:rsid w:val="00C06E9E"/>
    <w:rsid w:val="00C1396F"/>
    <w:rsid w:val="00C17721"/>
    <w:rsid w:val="00C43A79"/>
    <w:rsid w:val="00C461F5"/>
    <w:rsid w:val="00C56B80"/>
    <w:rsid w:val="00C74DC3"/>
    <w:rsid w:val="00C80329"/>
    <w:rsid w:val="00C81E43"/>
    <w:rsid w:val="00CA142D"/>
    <w:rsid w:val="00CA7CB0"/>
    <w:rsid w:val="00CB0489"/>
    <w:rsid w:val="00CC3635"/>
    <w:rsid w:val="00CD0256"/>
    <w:rsid w:val="00CD7151"/>
    <w:rsid w:val="00CE0842"/>
    <w:rsid w:val="00CE45DB"/>
    <w:rsid w:val="00CE6FB1"/>
    <w:rsid w:val="00D06B1E"/>
    <w:rsid w:val="00D13047"/>
    <w:rsid w:val="00D42D61"/>
    <w:rsid w:val="00D5465F"/>
    <w:rsid w:val="00D54B9C"/>
    <w:rsid w:val="00D72420"/>
    <w:rsid w:val="00D85036"/>
    <w:rsid w:val="00D94B9E"/>
    <w:rsid w:val="00D954D0"/>
    <w:rsid w:val="00D96955"/>
    <w:rsid w:val="00D97910"/>
    <w:rsid w:val="00DA4F09"/>
    <w:rsid w:val="00DB25AC"/>
    <w:rsid w:val="00DB5392"/>
    <w:rsid w:val="00DC1769"/>
    <w:rsid w:val="00DE4657"/>
    <w:rsid w:val="00E00352"/>
    <w:rsid w:val="00E03245"/>
    <w:rsid w:val="00E0425F"/>
    <w:rsid w:val="00E15F1F"/>
    <w:rsid w:val="00E210BB"/>
    <w:rsid w:val="00E30CA8"/>
    <w:rsid w:val="00E525BD"/>
    <w:rsid w:val="00E52E5A"/>
    <w:rsid w:val="00E54B84"/>
    <w:rsid w:val="00E834C3"/>
    <w:rsid w:val="00E83D2C"/>
    <w:rsid w:val="00E90860"/>
    <w:rsid w:val="00EA071D"/>
    <w:rsid w:val="00EA616D"/>
    <w:rsid w:val="00EB2A96"/>
    <w:rsid w:val="00EE6F37"/>
    <w:rsid w:val="00EF190E"/>
    <w:rsid w:val="00F1178D"/>
    <w:rsid w:val="00F12317"/>
    <w:rsid w:val="00F128CF"/>
    <w:rsid w:val="00F14325"/>
    <w:rsid w:val="00F33F10"/>
    <w:rsid w:val="00F57999"/>
    <w:rsid w:val="00F96C82"/>
    <w:rsid w:val="00FC6064"/>
    <w:rsid w:val="00FD4ED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9954A"/>
  <w15:chartTrackingRefBased/>
  <w15:docId w15:val="{A81DD38A-8649-4169-B622-227FB3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31A"/>
  </w:style>
  <w:style w:type="paragraph" w:styleId="Footer">
    <w:name w:val="footer"/>
    <w:basedOn w:val="Normal"/>
    <w:link w:val="FooterChar"/>
    <w:uiPriority w:val="99"/>
    <w:unhideWhenUsed/>
    <w:rsid w:val="004B3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31A"/>
  </w:style>
  <w:style w:type="paragraph" w:styleId="BalloonText">
    <w:name w:val="Balloon Text"/>
    <w:basedOn w:val="Normal"/>
    <w:link w:val="BalloonTextChar"/>
    <w:uiPriority w:val="99"/>
    <w:semiHidden/>
    <w:unhideWhenUsed/>
    <w:rsid w:val="00461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wner\Documents\Petroleum%20Stats_S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wner\Documents\Articles_Book\Articles\2020_FY\Data\Petroleum%20Stats_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Revenue from Petroleum Fields</a:t>
            </a:r>
          </a:p>
          <a:p>
            <a:pPr>
              <a:defRPr sz="1100" b="1"/>
            </a:pPr>
            <a:r>
              <a:rPr lang="en-US" sz="1100" b="1"/>
              <a:t>[Mills/Mahama</a:t>
            </a:r>
            <a:r>
              <a:rPr lang="en-US" sz="1100" b="1" baseline="0"/>
              <a:t> vrs</a:t>
            </a:r>
            <a:r>
              <a:rPr lang="en-US" sz="1100" b="1"/>
              <a:t> Nana Addo]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Petrol!$AW$212</c:f>
              <c:strCache>
                <c:ptCount val="1"/>
                <c:pt idx="0">
                  <c:v>Jubilee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Petrol!$AV$213:$AV$214</c:f>
              <c:strCache>
                <c:ptCount val="2"/>
                <c:pt idx="0">
                  <c:v>Mills/Mahama</c:v>
                </c:pt>
                <c:pt idx="1">
                  <c:v>Nana Addo  1/</c:v>
                </c:pt>
              </c:strCache>
            </c:strRef>
          </c:cat>
          <c:val>
            <c:numRef>
              <c:f>Petrol!$AW$213:$AW$214</c:f>
              <c:numCache>
                <c:formatCode>#,##0.0_);\(#,##0.0\)</c:formatCode>
                <c:ptCount val="2"/>
                <c:pt idx="0">
                  <c:v>165572.5</c:v>
                </c:pt>
                <c:pt idx="1">
                  <c:v>100980.664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6-479D-A6BA-B91E7E11CEF8}"/>
            </c:ext>
          </c:extLst>
        </c:ser>
        <c:ser>
          <c:idx val="1"/>
          <c:order val="1"/>
          <c:tx>
            <c:strRef>
              <c:f>Petrol!$AX$212</c:f>
              <c:strCache>
                <c:ptCount val="1"/>
                <c:pt idx="0">
                  <c:v>SGN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Petrol!$AV$213:$AV$214</c:f>
              <c:strCache>
                <c:ptCount val="2"/>
                <c:pt idx="0">
                  <c:v>Mills/Mahama</c:v>
                </c:pt>
                <c:pt idx="1">
                  <c:v>Nana Addo  1/</c:v>
                </c:pt>
              </c:strCache>
            </c:strRef>
          </c:cat>
          <c:val>
            <c:numRef>
              <c:f>Petrol!$AX$213:$AX$214</c:f>
              <c:numCache>
                <c:formatCode>#,##0.0_);\(#,##0.0\)</c:formatCode>
                <c:ptCount val="2"/>
                <c:pt idx="0">
                  <c:v>0</c:v>
                </c:pt>
                <c:pt idx="1">
                  <c:v>37169.993999999999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A6-479D-A6BA-B91E7E11CEF8}"/>
            </c:ext>
          </c:extLst>
        </c:ser>
        <c:ser>
          <c:idx val="2"/>
          <c:order val="2"/>
          <c:tx>
            <c:strRef>
              <c:f>Petrol!$AY$212</c:f>
              <c:strCache>
                <c:ptCount val="1"/>
                <c:pt idx="0">
                  <c:v>TEN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Petrol!$AV$213:$AV$214</c:f>
              <c:strCache>
                <c:ptCount val="2"/>
                <c:pt idx="0">
                  <c:v>Mills/Mahama</c:v>
                </c:pt>
                <c:pt idx="1">
                  <c:v>Nana Addo  1/</c:v>
                </c:pt>
              </c:strCache>
            </c:strRef>
          </c:cat>
          <c:val>
            <c:numRef>
              <c:f>Petrol!$AY$213:$AY$214</c:f>
              <c:numCache>
                <c:formatCode>#,##0.0_);\(#,##0.0\)</c:formatCode>
                <c:ptCount val="2"/>
                <c:pt idx="0">
                  <c:v>0</c:v>
                </c:pt>
                <c:pt idx="1">
                  <c:v>76098.679999999993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A6-479D-A6BA-B91E7E11CEF8}"/>
            </c:ext>
          </c:extLst>
        </c:ser>
        <c:ser>
          <c:idx val="3"/>
          <c:order val="3"/>
          <c:tx>
            <c:strRef>
              <c:f>Petrol!$AZ$212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Petrol!$AV$213:$AV$214</c:f>
              <c:strCache>
                <c:ptCount val="2"/>
                <c:pt idx="0">
                  <c:v>Mills/Mahama</c:v>
                </c:pt>
                <c:pt idx="1">
                  <c:v>Nana Addo  1/</c:v>
                </c:pt>
              </c:strCache>
            </c:strRef>
          </c:cat>
          <c:val>
            <c:numRef>
              <c:f>Petrol!$AZ$213:$AZ$214</c:f>
              <c:numCache>
                <c:formatCode>#,##0.0_);\(#,##0.0\)</c:formatCode>
                <c:ptCount val="2"/>
                <c:pt idx="0">
                  <c:v>165572.5</c:v>
                </c:pt>
                <c:pt idx="1">
                  <c:v>214249.33799999999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A6-479D-A6BA-B91E7E11CE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8479312"/>
        <c:axId val="518482592"/>
      </c:barChart>
      <c:catAx>
        <c:axId val="51847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482592"/>
        <c:crosses val="autoZero"/>
        <c:auto val="1"/>
        <c:lblAlgn val="ctr"/>
        <c:lblOffset val="100"/>
        <c:noMultiLvlLbl val="0"/>
      </c:catAx>
      <c:valAx>
        <c:axId val="518482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);\(#,##0.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47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Budget Revenue: Estimates, Actual &amp; Deviations (Nominal and Percent [%])</a:t>
            </a:r>
          </a:p>
          <a:p>
            <a:pPr>
              <a:defRPr sz="1000" b="1"/>
            </a:pPr>
            <a:endParaRPr lang="en-US" sz="1000" b="1"/>
          </a:p>
        </c:rich>
      </c:tx>
      <c:layout>
        <c:manualLayout>
          <c:xMode val="edge"/>
          <c:yMode val="edge"/>
          <c:x val="0.12223238646912121"/>
          <c:y val="2.787456445993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Petrol!$K$41</c:f>
              <c:strCache>
                <c:ptCount val="1"/>
                <c:pt idx="0">
                  <c:v>Proj. Rev.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Petrol!$J$42:$J$50</c:f>
              <c:numCache>
                <c:formatCode>0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Petrol!$K$42:$K$50</c:f>
              <c:numCache>
                <c:formatCode>0.0_);\(0.0\)</c:formatCode>
                <c:ptCount val="9"/>
                <c:pt idx="0">
                  <c:v>2.6748083435699717</c:v>
                </c:pt>
                <c:pt idx="1">
                  <c:v>5.6785631515837709</c:v>
                </c:pt>
                <c:pt idx="2">
                  <c:v>5.1422274374878061</c:v>
                </c:pt>
                <c:pt idx="3">
                  <c:v>7.8293105864700525</c:v>
                </c:pt>
                <c:pt idx="4">
                  <c:v>19.253581907303236</c:v>
                </c:pt>
                <c:pt idx="5">
                  <c:v>9.1987758171676912</c:v>
                </c:pt>
                <c:pt idx="6">
                  <c:v>10.800912732545731</c:v>
                </c:pt>
                <c:pt idx="7">
                  <c:v>14.689003148395988</c:v>
                </c:pt>
                <c:pt idx="8">
                  <c:v>24.732816875475766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6-4CA3-8557-C86FD2FBFBD0}"/>
            </c:ext>
          </c:extLst>
        </c:ser>
        <c:ser>
          <c:idx val="1"/>
          <c:order val="1"/>
          <c:tx>
            <c:strRef>
              <c:f>Petrol!$L$41</c:f>
              <c:strCache>
                <c:ptCount val="1"/>
                <c:pt idx="0">
                  <c:v>Prov. Rev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Petrol!$J$42:$J$50</c:f>
              <c:numCache>
                <c:formatCode>0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Petrol!$L$42:$L$50</c:f>
              <c:numCache>
                <c:formatCode>0.0_);\(0.0\)</c:formatCode>
                <c:ptCount val="9"/>
                <c:pt idx="0">
                  <c:v>3.5609344004913606</c:v>
                </c:pt>
                <c:pt idx="1">
                  <c:v>5.0310462424878457</c:v>
                </c:pt>
                <c:pt idx="2">
                  <c:v>8.6126391246514</c:v>
                </c:pt>
                <c:pt idx="3">
                  <c:v>15.396045377203704</c:v>
                </c:pt>
                <c:pt idx="4">
                  <c:v>7.2239776097571564</c:v>
                </c:pt>
                <c:pt idx="5">
                  <c:v>4.6805580093695127</c:v>
                </c:pt>
                <c:pt idx="6">
                  <c:v>8.1324873368288664</c:v>
                </c:pt>
                <c:pt idx="7">
                  <c:v>23.407204711972049</c:v>
                </c:pt>
                <c:pt idx="8">
                  <c:v>23.955107187238113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66-4CA3-8557-C86FD2FBF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3671560"/>
        <c:axId val="553671888"/>
      </c:barChart>
      <c:lineChart>
        <c:grouping val="standard"/>
        <c:varyColors val="0"/>
        <c:ser>
          <c:idx val="2"/>
          <c:order val="2"/>
          <c:tx>
            <c:strRef>
              <c:f>Petrol!$M$41</c:f>
              <c:strCache>
                <c:ptCount val="1"/>
                <c:pt idx="0">
                  <c:v>Dev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Petrol!$J$42:$J$50</c:f>
              <c:numCache>
                <c:formatCode>0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Petrol!$M$42:$M$50</c:f>
              <c:numCache>
                <c:formatCode>0.0_);\(0.0\)</c:formatCode>
                <c:ptCount val="9"/>
                <c:pt idx="0">
                  <c:v>0.8861260569213889</c:v>
                </c:pt>
                <c:pt idx="1">
                  <c:v>-0.64751690909592519</c:v>
                </c:pt>
                <c:pt idx="2">
                  <c:v>3.4704116871635939</c:v>
                </c:pt>
                <c:pt idx="3">
                  <c:v>7.5667347907336513</c:v>
                </c:pt>
                <c:pt idx="4">
                  <c:v>-12.029604297546079</c:v>
                </c:pt>
                <c:pt idx="5">
                  <c:v>-4.5182178077981785</c:v>
                </c:pt>
                <c:pt idx="6">
                  <c:v>-2.6684253957168647</c:v>
                </c:pt>
                <c:pt idx="7">
                  <c:v>8.718201563576061</c:v>
                </c:pt>
                <c:pt idx="8">
                  <c:v>-0.7777096882376533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66-4CA3-8557-C86FD2FBF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671560"/>
        <c:axId val="553671888"/>
      </c:lineChart>
      <c:catAx>
        <c:axId val="5536715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671888"/>
        <c:crosses val="autoZero"/>
        <c:auto val="1"/>
        <c:lblAlgn val="ctr"/>
        <c:lblOffset val="100"/>
        <c:noMultiLvlLbl val="0"/>
      </c:catAx>
      <c:valAx>
        <c:axId val="55367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Revenue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_);\(0.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67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Terkper</dc:creator>
  <cp:keywords/>
  <dc:description/>
  <cp:lastModifiedBy>Kuuku Arthur-Don</cp:lastModifiedBy>
  <cp:revision>3</cp:revision>
  <cp:lastPrinted>2020-09-30T19:25:00Z</cp:lastPrinted>
  <dcterms:created xsi:type="dcterms:W3CDTF">2020-10-03T21:27:00Z</dcterms:created>
  <dcterms:modified xsi:type="dcterms:W3CDTF">2020-10-07T12:48:00Z</dcterms:modified>
</cp:coreProperties>
</file>